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78" w:rsidRDefault="009E4078">
      <w:pPr>
        <w:spacing w:line="584" w:lineRule="exact"/>
        <w:ind w:firstLineChars="200" w:firstLine="880"/>
        <w:jc w:val="center"/>
        <w:rPr>
          <w:rFonts w:ascii="Times New Roman" w:eastAsia="仿宋_GB2312" w:hAnsi="Times New Roman" w:cs="Times New Roman"/>
          <w:sz w:val="44"/>
          <w:szCs w:val="44"/>
        </w:rPr>
      </w:pPr>
    </w:p>
    <w:p w:rsidR="009E4078" w:rsidRDefault="009E4078">
      <w:pPr>
        <w:spacing w:line="584" w:lineRule="exact"/>
        <w:ind w:firstLineChars="200" w:firstLine="880"/>
        <w:jc w:val="center"/>
        <w:rPr>
          <w:rFonts w:ascii="Times New Roman" w:eastAsia="仿宋_GB2312" w:hAnsi="Times New Roman" w:cs="Times New Roman"/>
          <w:sz w:val="44"/>
          <w:szCs w:val="44"/>
        </w:rPr>
      </w:pPr>
    </w:p>
    <w:p w:rsidR="009E4078" w:rsidRDefault="00F6072D">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三河</w:t>
      </w:r>
      <w:r>
        <w:rPr>
          <w:rFonts w:ascii="Times New Roman" w:eastAsia="方正小标宋简体" w:hAnsi="Times New Roman" w:cs="Times New Roman"/>
          <w:sz w:val="44"/>
          <w:szCs w:val="44"/>
        </w:rPr>
        <w:t>市</w:t>
      </w:r>
      <w:r>
        <w:rPr>
          <w:rFonts w:ascii="Times New Roman" w:eastAsia="方正小标宋简体" w:hAnsi="Times New Roman" w:cs="Times New Roman" w:hint="eastAsia"/>
          <w:sz w:val="44"/>
          <w:szCs w:val="44"/>
        </w:rPr>
        <w:t>商务局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21</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9E4078" w:rsidRDefault="009E4078">
      <w:pPr>
        <w:spacing w:line="584" w:lineRule="exact"/>
        <w:ind w:firstLineChars="200" w:firstLine="880"/>
        <w:jc w:val="center"/>
        <w:rPr>
          <w:rFonts w:ascii="Times New Roman" w:eastAsia="仿宋_GB2312" w:hAnsi="Times New Roman" w:cs="Times New Roman"/>
          <w:sz w:val="44"/>
          <w:szCs w:val="44"/>
        </w:rPr>
      </w:pP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商务局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9E4078" w:rsidRDefault="00F6072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9E4078" w:rsidRDefault="00F6072D">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三河市商务局为主管全市国内外贸易和国际经济合作的政府工作部门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主要职责如下</w:t>
      </w:r>
      <w:r>
        <w:rPr>
          <w:rFonts w:ascii="Times New Roman" w:eastAsia="仿宋_GB2312" w:hAnsi="Times New Roman" w:cs="Times New Roman"/>
          <w:sz w:val="32"/>
          <w:szCs w:val="32"/>
        </w:rPr>
        <w:t>:</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（一）贯彻落实国家和省、市有关内外贸易、国际经济合作和招商引资的发展战略、方针、政策和规章制度；拟定全市相应的发展规划及规定、办法和措施。</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贯彻执行国家有关对外开放、招商引资等方面的法律法规和方针政策；指导全市外商投资工作；参与拟定全市利用外资的中长期规划；负责国家规定的限额以上、限额投资、特殊行业和涉及配额、许可证管理的外商投资企业的设立及其变更事项的审核上报工作；审核或核准全市大型外商投</w:t>
      </w:r>
      <w:r>
        <w:rPr>
          <w:rFonts w:ascii="Times New Roman" w:eastAsia="仿宋_GB2312" w:hAnsi="Times New Roman" w:cs="Times New Roman"/>
          <w:sz w:val="32"/>
          <w:szCs w:val="32"/>
        </w:rPr>
        <w:lastRenderedPageBreak/>
        <w:t>资项目的合同、章程及法律特别规定的重大变更事项；监督外商投资企业执行有关法律法规、规章和进出口工作；负责全市利用外资和外资企业生产经营情况统计；负责全市外商投资企业进出口产品配额及许可证的申报和管理工作；综合协调和指导国家级、省级经济技术开发区的有关具体工作。</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负责全市对外经济合作；拟定并执行对外经济合作政策，指导和监督对外承包工程、劳务合作、设计咨询等业务的管理；拟定全市境外投资管理办法和具体政策；负责对外经济合作企业的经营资格认证和管理工作；管理联合国及其他国际组织或外国政府对我市经济技术合作方面的无偿援助及赠款工作。</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（四）负责外国和香港、澳门特别行政区、台湾及其他省市常驻我市的商务代表机构的设立和管理工作。</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（五）执行国家制定的进出口商品管理办法、进出口商品目录和进出口商品配额招标政策；负责进出口配额计划的编报、下达和组织实施及配额、许可证管理工作。</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贯彻执行国家对外技术贸易、进出口管理及鼓励技术和成套设备出口的政策；推进进出口贸易标准化体系建设；依法监督技术引进、设备进口、国家限制出口的技术和引进技术的出口与再出口工作；负责协调与防扩散相关的出口许可证的管理工作。</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七）负责全市商务系统涉及世贸组织相关事物的研究、指导的服务工作；组织协调反倾销、反补贴工作及其他进出口公平贸易相关的工作；承担反倾销、反补贴、保障措施等涉及我市案件的产业损失调查，建立全市产业损失预警机制。</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（八）研究提出流通体制改革意见，培育发展城乡市场、推进流通产业结构调整和连锁经营、物流配送、电子商务等现代流通方式。</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研究拟定全市规范流通领域市场体系及流通秩序和打破市场垄断、地区封锁的意见；建立健全统一、开放、竞争、有序的市场体系，维护行业公平竞争秩序；监测分析市场运行和商品供求状况，组织实施重要消费品市场调控和重要生产资料流通管理。</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拟定全市商品流通、物资流通和餐饮服务业的有关规定、规章，制定实施细则和市场准则；调查研究全市商品流通和物资流通行业重大问题，提出政策性建议；负责成品油流通、畜禽定点屠宰、酒类监督、化学危险品经营和拍卖、典当实物租赁、旧货流通等行业的监督管理；负责重要商品和生产资料经营资格的审查工作；协同有关部门负责民爆器材的经营性管理工作；承办全市老旧汽车更新工作；指导全市贸易及物资系统安全生产管理工作。</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（十一）贯彻执行国家机电产品进口战略和方针、政策；拟定和执行全市机电产品进出口中长期</w:t>
      </w:r>
      <w:r>
        <w:rPr>
          <w:rFonts w:ascii="Times New Roman" w:eastAsia="仿宋_GB2312" w:hAnsi="Times New Roman" w:cs="Times New Roman"/>
          <w:sz w:val="32"/>
          <w:szCs w:val="32"/>
        </w:rPr>
        <w:lastRenderedPageBreak/>
        <w:t>发展计划、年度指导性计划和管理办法并组织实施；依法监督进口机电设备采购项目招标活动，承办从事与工程有关的进口机电设备采购招标代理业务的招标代理机构初审上报；管理设备进口和国际招标。</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（十二）指导监督以三河市名义在境内举办的各种内、外贸交易会、展览会、展销会等活动；拟定并实施赴境外举办上述活动的管理办法。</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（十三）负责全市内外贸易新闻发布会、宣传工作和提供信息咨询服务；指导全市流通领域信息网络和电子商务建设。</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（十四）负责指导全市商务流通行业协会、学会等社会组织工作。</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（十五）承办市政府交办的其他事项。</w:t>
      </w:r>
    </w:p>
    <w:p w:rsidR="009E4078" w:rsidRDefault="00F6072D">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9E4078" w:rsidRDefault="00F6072D">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9E4078">
        <w:trPr>
          <w:trHeight w:val="584"/>
          <w:tblHeader/>
          <w:jc w:val="center"/>
        </w:trPr>
        <w:tc>
          <w:tcPr>
            <w:tcW w:w="4443" w:type="dxa"/>
            <w:vMerge w:val="restart"/>
            <w:shd w:val="clear" w:color="auto" w:fill="auto"/>
            <w:vAlign w:val="center"/>
          </w:tcPr>
          <w:p w:rsidR="009E4078" w:rsidRDefault="00F6072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9E4078" w:rsidRDefault="00F6072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9E4078" w:rsidRDefault="00F6072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9E4078" w:rsidRDefault="00F6072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9E4078">
        <w:trPr>
          <w:trHeight w:val="584"/>
          <w:tblHeader/>
          <w:jc w:val="center"/>
        </w:trPr>
        <w:tc>
          <w:tcPr>
            <w:tcW w:w="4443" w:type="dxa"/>
            <w:vMerge/>
            <w:shd w:val="clear" w:color="auto" w:fill="auto"/>
            <w:vAlign w:val="center"/>
          </w:tcPr>
          <w:p w:rsidR="009E4078" w:rsidRDefault="009E4078"/>
        </w:tc>
        <w:tc>
          <w:tcPr>
            <w:tcW w:w="1134" w:type="dxa"/>
            <w:vMerge/>
            <w:shd w:val="clear" w:color="auto" w:fill="auto"/>
            <w:vAlign w:val="center"/>
          </w:tcPr>
          <w:p w:rsidR="009E4078" w:rsidRDefault="009E4078"/>
        </w:tc>
        <w:tc>
          <w:tcPr>
            <w:tcW w:w="1276" w:type="dxa"/>
            <w:vMerge/>
            <w:shd w:val="clear" w:color="auto" w:fill="auto"/>
            <w:vAlign w:val="center"/>
          </w:tcPr>
          <w:p w:rsidR="009E4078" w:rsidRDefault="009E4078"/>
        </w:tc>
        <w:tc>
          <w:tcPr>
            <w:tcW w:w="2902" w:type="dxa"/>
            <w:vMerge/>
            <w:shd w:val="clear" w:color="auto" w:fill="auto"/>
            <w:vAlign w:val="center"/>
          </w:tcPr>
          <w:p w:rsidR="009E4078" w:rsidRDefault="009E4078"/>
        </w:tc>
      </w:tr>
      <w:tr w:rsidR="009E4078">
        <w:trPr>
          <w:trHeight w:val="540"/>
          <w:jc w:val="center"/>
        </w:trPr>
        <w:tc>
          <w:tcPr>
            <w:tcW w:w="4443" w:type="dxa"/>
            <w:shd w:val="clear" w:color="auto" w:fill="auto"/>
            <w:vAlign w:val="center"/>
          </w:tcPr>
          <w:p w:rsidR="009E4078" w:rsidRDefault="00F6072D">
            <w:pPr>
              <w:spacing w:line="300" w:lineRule="exact"/>
              <w:jc w:val="left"/>
              <w:rPr>
                <w:rFonts w:ascii="Times New Roman" w:eastAsia="仿宋_GB2312" w:hAnsi="Times New Roman" w:cs="Times New Roman"/>
                <w:b/>
              </w:rPr>
            </w:pPr>
            <w:r>
              <w:rPr>
                <w:rFonts w:ascii="方正书宋_GBK" w:eastAsia="方正书宋_GBK" w:hint="eastAsia"/>
              </w:rPr>
              <w:t>三河市商务局本级</w:t>
            </w:r>
          </w:p>
        </w:tc>
        <w:tc>
          <w:tcPr>
            <w:tcW w:w="1134" w:type="dxa"/>
            <w:shd w:val="clear" w:color="auto" w:fill="auto"/>
            <w:vAlign w:val="center"/>
          </w:tcPr>
          <w:p w:rsidR="009E4078" w:rsidRDefault="00F6072D">
            <w:pPr>
              <w:spacing w:line="300" w:lineRule="exact"/>
              <w:jc w:val="center"/>
              <w:rPr>
                <w:rFonts w:ascii="Times New Roman" w:eastAsia="仿宋_GB2312" w:hAnsi="Times New Roman" w:cs="Times New Roman"/>
                <w:b/>
              </w:rPr>
            </w:pPr>
            <w:r>
              <w:rPr>
                <w:rFonts w:ascii="方正书宋_GBK" w:eastAsia="方正书宋_GBK" w:hint="eastAsia"/>
              </w:rPr>
              <w:t>行政</w:t>
            </w:r>
          </w:p>
        </w:tc>
        <w:tc>
          <w:tcPr>
            <w:tcW w:w="1276" w:type="dxa"/>
            <w:shd w:val="clear" w:color="auto" w:fill="auto"/>
            <w:vAlign w:val="center"/>
          </w:tcPr>
          <w:p w:rsidR="009E4078" w:rsidRDefault="00F6072D">
            <w:pPr>
              <w:spacing w:line="300" w:lineRule="exact"/>
              <w:jc w:val="center"/>
              <w:rPr>
                <w:rFonts w:ascii="Times New Roman" w:eastAsia="仿宋_GB2312" w:hAnsi="Times New Roman" w:cs="Times New Roman"/>
                <w:b/>
              </w:rPr>
            </w:pPr>
            <w:r>
              <w:rPr>
                <w:rFonts w:ascii="方正书宋_GBK" w:eastAsia="方正书宋_GBK" w:hint="eastAsia"/>
              </w:rPr>
              <w:t>正科级</w:t>
            </w:r>
          </w:p>
        </w:tc>
        <w:tc>
          <w:tcPr>
            <w:tcW w:w="2902" w:type="dxa"/>
            <w:shd w:val="clear" w:color="auto" w:fill="auto"/>
            <w:vAlign w:val="center"/>
          </w:tcPr>
          <w:p w:rsidR="009E4078" w:rsidRDefault="00F6072D">
            <w:pPr>
              <w:spacing w:line="300" w:lineRule="exact"/>
              <w:jc w:val="center"/>
              <w:rPr>
                <w:rFonts w:ascii="Times New Roman" w:eastAsia="仿宋_GB2312" w:hAnsi="Times New Roman" w:cs="Times New Roman"/>
                <w:b/>
              </w:rPr>
            </w:pPr>
            <w:r>
              <w:rPr>
                <w:rFonts w:ascii="方正书宋_GBK" w:eastAsia="方正书宋_GBK" w:hint="eastAsia"/>
              </w:rPr>
              <w:t>财政拨款</w:t>
            </w:r>
          </w:p>
        </w:tc>
      </w:tr>
    </w:tbl>
    <w:p w:rsidR="009E4078" w:rsidRDefault="00F6072D" w:rsidP="009E4078">
      <w:pPr>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注：</w:t>
      </w:r>
      <w:r>
        <w:rPr>
          <w:rFonts w:ascii="Times New Roman" w:eastAsia="仿宋_GB2312" w:hAnsi="Times New Roman" w:cs="Times New Roman" w:hint="eastAsia"/>
          <w:sz w:val="32"/>
          <w:szCs w:val="32"/>
        </w:rPr>
        <w:t>我部门无下属单位。</w:t>
      </w:r>
    </w:p>
    <w:p w:rsidR="009E4078" w:rsidRDefault="00F6072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按照预算管理有关规定，目前我市部门预算的编制实行综合预算制度，即全部收入和支出都反映在预算中。</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商务局</w:t>
      </w:r>
      <w:r>
        <w:rPr>
          <w:rFonts w:ascii="Times New Roman" w:eastAsia="仿宋_GB2312" w:hAnsi="Times New Roman" w:cs="Times New Roman"/>
          <w:sz w:val="32"/>
          <w:szCs w:val="32"/>
        </w:rPr>
        <w:t>机关及所属事业单位的收支包含在部门预算中。</w:t>
      </w:r>
    </w:p>
    <w:p w:rsidR="009E4078" w:rsidRDefault="00F6072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9E4078" w:rsidRDefault="00F6072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1874</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1874</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6.19</w:t>
      </w:r>
      <w:r>
        <w:rPr>
          <w:rFonts w:ascii="Times New Roman" w:eastAsia="仿宋_GB2312" w:hAnsi="Times New Roman" w:cs="Times New Roman" w:hint="eastAsia"/>
          <w:sz w:val="32"/>
          <w:szCs w:val="32"/>
        </w:rPr>
        <w:t>万元</w:t>
      </w:r>
    </w:p>
    <w:p w:rsidR="009E4078" w:rsidRDefault="00F6072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9E4078" w:rsidRDefault="00F6072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商务局</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1874</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1182</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1068.97</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113.03</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692</w:t>
      </w:r>
      <w:r>
        <w:rPr>
          <w:rFonts w:ascii="Times New Roman" w:eastAsia="仿宋_GB2312" w:hAnsi="Times New Roman" w:cs="Times New Roman"/>
          <w:sz w:val="32"/>
          <w:szCs w:val="32"/>
        </w:rPr>
        <w:t>万元，包括本级支出和对下补助支出，主要为</w:t>
      </w:r>
      <w:r>
        <w:rPr>
          <w:rFonts w:ascii="Times New Roman" w:eastAsia="仿宋_GB2312" w:hAnsi="Times New Roman" w:cs="Times New Roman" w:hint="eastAsia"/>
          <w:sz w:val="32"/>
          <w:szCs w:val="32"/>
        </w:rPr>
        <w:t>外贸出口奖励资金、出口信用保险资金、限额以上批零住餐企业奖励资金</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w:t>
      </w:r>
    </w:p>
    <w:p w:rsidR="009E4078" w:rsidRDefault="00F6072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9E4078" w:rsidRDefault="00F6072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1874</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30.1</w:t>
      </w:r>
      <w:r>
        <w:rPr>
          <w:rFonts w:ascii="Times New Roman" w:eastAsia="仿宋_GB2312" w:hAnsi="Times New Roman" w:cs="Times New Roman" w:hint="eastAsia"/>
          <w:sz w:val="32"/>
          <w:szCs w:val="32"/>
        </w:rPr>
        <w:t>万元，其中：基本支出减少</w:t>
      </w:r>
      <w:r>
        <w:rPr>
          <w:rFonts w:ascii="Times New Roman" w:eastAsia="仿宋_GB2312" w:hAnsi="Times New Roman" w:cs="Times New Roman" w:hint="eastAsia"/>
          <w:sz w:val="32"/>
          <w:szCs w:val="32"/>
        </w:rPr>
        <w:t>49.1</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元，主要为</w:t>
      </w:r>
      <w:r>
        <w:rPr>
          <w:rFonts w:ascii="Times New Roman" w:eastAsia="仿宋_GB2312" w:hAnsi="Times New Roman" w:cs="Times New Roman" w:hint="eastAsia"/>
          <w:sz w:val="32"/>
          <w:szCs w:val="32"/>
        </w:rPr>
        <w:t>人员</w:t>
      </w:r>
      <w:r>
        <w:rPr>
          <w:rFonts w:ascii="Times New Roman" w:eastAsia="仿宋_GB2312" w:hAnsi="Times New Roman" w:cs="Times New Roman"/>
          <w:sz w:val="32"/>
          <w:szCs w:val="32"/>
        </w:rPr>
        <w:t>支出</w:t>
      </w:r>
      <w:r>
        <w:rPr>
          <w:rFonts w:ascii="Times New Roman" w:eastAsia="仿宋_GB2312" w:hAnsi="Times New Roman" w:cs="Times New Roman" w:hint="eastAsia"/>
          <w:sz w:val="32"/>
          <w:szCs w:val="32"/>
        </w:rPr>
        <w:t>和日常支出减少</w:t>
      </w:r>
      <w:r>
        <w:rPr>
          <w:rFonts w:ascii="Times New Roman" w:eastAsia="仿宋_GB2312" w:hAnsi="Times New Roman" w:cs="Times New Roman"/>
          <w:sz w:val="32"/>
          <w:szCs w:val="32"/>
        </w:rPr>
        <w:t>；项目支出增加</w:t>
      </w: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出口信用保险</w:t>
      </w:r>
      <w:r>
        <w:rPr>
          <w:rFonts w:ascii="Times New Roman" w:eastAsia="仿宋_GB2312" w:hAnsi="Times New Roman" w:cs="Times New Roman"/>
          <w:sz w:val="32"/>
          <w:szCs w:val="32"/>
        </w:rPr>
        <w:t>项目支出</w:t>
      </w:r>
      <w:r>
        <w:rPr>
          <w:rFonts w:ascii="Times New Roman" w:eastAsia="仿宋_GB2312" w:hAnsi="Times New Roman" w:cs="Times New Roman" w:hint="eastAsia"/>
          <w:sz w:val="32"/>
          <w:szCs w:val="32"/>
        </w:rPr>
        <w:t>增加</w:t>
      </w:r>
      <w:r>
        <w:rPr>
          <w:rFonts w:ascii="Times New Roman" w:eastAsia="仿宋_GB2312" w:hAnsi="Times New Roman" w:cs="Times New Roman"/>
          <w:sz w:val="32"/>
          <w:szCs w:val="32"/>
        </w:rPr>
        <w:t>。</w:t>
      </w:r>
    </w:p>
    <w:p w:rsidR="009E4078" w:rsidRDefault="00F6072D">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9E4078" w:rsidRDefault="00F6072D">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113.03</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商务局</w:t>
      </w:r>
      <w:r>
        <w:rPr>
          <w:rFonts w:ascii="Times New Roman" w:eastAsia="仿宋_GB2312" w:hAnsi="Times New Roman" w:cs="Times New Roman"/>
          <w:sz w:val="32"/>
          <w:szCs w:val="32"/>
        </w:rPr>
        <w:t>办公区的日常维修、办公用房水电费、办公用房取暖费、办公用房物业管理费等日常运行支出。</w:t>
      </w:r>
    </w:p>
    <w:p w:rsidR="009E4078" w:rsidRDefault="00F6072D">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仿宋_GB2312" w:eastAsia="仿宋_GB2312" w:hAnsi="仿宋_GB2312" w:cs="仿宋_GB2312" w:hint="eastAsia"/>
          <w:bCs/>
          <w:sz w:val="32"/>
          <w:szCs w:val="32"/>
        </w:rPr>
        <w:t xml:space="preserve">    </w:t>
      </w:r>
      <w:r>
        <w:rPr>
          <w:rFonts w:ascii="Times New Roman" w:eastAsia="方正仿宋_GBK" w:hint="eastAsia"/>
          <w:sz w:val="28"/>
        </w:rPr>
        <w:t>2</w:t>
      </w:r>
      <w:r>
        <w:rPr>
          <w:rFonts w:ascii="Times New Roman" w:eastAsia="仿宋_GB2312" w:hAnsi="Times New Roman" w:cs="Times New Roman" w:hint="eastAsia"/>
          <w:sz w:val="32"/>
          <w:szCs w:val="32"/>
        </w:rPr>
        <w:t>021</w:t>
      </w:r>
      <w:r>
        <w:rPr>
          <w:rFonts w:ascii="Times New Roman" w:eastAsia="仿宋_GB2312" w:hAnsi="Times New Roman" w:cs="Times New Roman" w:hint="eastAsia"/>
          <w:sz w:val="32"/>
          <w:szCs w:val="32"/>
        </w:rPr>
        <w:t>年，我部门财政拨款“三公”经费预算安排</w:t>
      </w:r>
      <w:r>
        <w:rPr>
          <w:rFonts w:ascii="Times New Roman" w:eastAsia="仿宋_GB2312" w:hAnsi="Times New Roman" w:cs="Times New Roman" w:hint="eastAsia"/>
          <w:sz w:val="32"/>
          <w:szCs w:val="32"/>
        </w:rPr>
        <w:t>12.85</w:t>
      </w:r>
      <w:r>
        <w:rPr>
          <w:rFonts w:ascii="Times New Roman" w:eastAsia="仿宋_GB2312" w:hAnsi="Times New Roman" w:cs="Times New Roman" w:hint="eastAsia"/>
          <w:sz w:val="32"/>
          <w:szCs w:val="32"/>
        </w:rPr>
        <w:t>万元，其中，因公出国（境）费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万元；公务用车购置及运维费</w:t>
      </w:r>
      <w:r>
        <w:rPr>
          <w:rFonts w:ascii="Times New Roman" w:eastAsia="仿宋_GB2312" w:hAnsi="Times New Roman" w:cs="Times New Roman" w:hint="eastAsia"/>
          <w:sz w:val="32"/>
          <w:szCs w:val="32"/>
        </w:rPr>
        <w:t>11.97</w:t>
      </w:r>
      <w:r>
        <w:rPr>
          <w:rFonts w:ascii="Times New Roman" w:eastAsia="仿宋_GB2312" w:hAnsi="Times New Roman" w:cs="Times New Roman" w:hint="eastAsia"/>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万元，公务用车运维费</w:t>
      </w:r>
      <w:r>
        <w:rPr>
          <w:rFonts w:ascii="Times New Roman" w:eastAsia="仿宋_GB2312" w:hAnsi="Times New Roman" w:cs="Times New Roman" w:hint="eastAsia"/>
          <w:sz w:val="32"/>
          <w:szCs w:val="32"/>
        </w:rPr>
        <w:t>11.97</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；公务接待费</w:t>
      </w:r>
      <w:r>
        <w:rPr>
          <w:rFonts w:ascii="Times New Roman" w:eastAsia="仿宋_GB2312" w:hAnsi="Times New Roman" w:cs="Times New Roman" w:hint="eastAsia"/>
          <w:sz w:val="32"/>
          <w:szCs w:val="32"/>
        </w:rPr>
        <w:t>0.88</w:t>
      </w:r>
      <w:r>
        <w:rPr>
          <w:rFonts w:ascii="Times New Roman" w:eastAsia="仿宋_GB2312" w:hAnsi="Times New Roman" w:cs="Times New Roman" w:hint="eastAsia"/>
          <w:sz w:val="32"/>
          <w:szCs w:val="32"/>
        </w:rPr>
        <w:t>万元。与</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年相比减少</w:t>
      </w:r>
      <w:r>
        <w:rPr>
          <w:rFonts w:ascii="Times New Roman" w:eastAsia="仿宋_GB2312" w:hAnsi="Times New Roman" w:cs="Times New Roman" w:hint="eastAsia"/>
          <w:sz w:val="32"/>
          <w:szCs w:val="32"/>
        </w:rPr>
        <w:t>0.03</w:t>
      </w:r>
      <w:r>
        <w:rPr>
          <w:rFonts w:ascii="Times New Roman" w:eastAsia="仿宋_GB2312" w:hAnsi="Times New Roman" w:cs="Times New Roman" w:hint="eastAsia"/>
          <w:sz w:val="32"/>
          <w:szCs w:val="32"/>
        </w:rPr>
        <w:t>万元，其中因公出国（境）费与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年持平</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无增减变化</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；公务用车购置及运维费与去年持平（其中：公务用车购置费与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年持平</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均为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元，无增减变化，公务用车运行费</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万元，与去年持平</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，公务接待费</w:t>
      </w:r>
      <w:r>
        <w:rPr>
          <w:rFonts w:ascii="Times New Roman" w:eastAsia="仿宋_GB2312" w:hAnsi="Times New Roman" w:cs="Times New Roman" w:hint="eastAsia"/>
          <w:sz w:val="32"/>
          <w:szCs w:val="32"/>
        </w:rPr>
        <w:t>0.85</w:t>
      </w:r>
      <w:r>
        <w:rPr>
          <w:rFonts w:ascii="Times New Roman" w:eastAsia="仿宋_GB2312" w:hAnsi="Times New Roman" w:cs="Times New Roman" w:hint="eastAsia"/>
          <w:sz w:val="32"/>
          <w:szCs w:val="32"/>
        </w:rPr>
        <w:t>万元，比去年减少</w:t>
      </w:r>
      <w:r>
        <w:rPr>
          <w:rFonts w:ascii="Times New Roman" w:eastAsia="仿宋_GB2312" w:hAnsi="Times New Roman" w:cs="Times New Roman" w:hint="eastAsia"/>
          <w:sz w:val="32"/>
          <w:szCs w:val="32"/>
        </w:rPr>
        <w:t>0.03</w:t>
      </w:r>
      <w:r>
        <w:rPr>
          <w:rFonts w:ascii="Times New Roman" w:eastAsia="仿宋_GB2312" w:hAnsi="Times New Roman" w:cs="Times New Roman" w:hint="eastAsia"/>
          <w:sz w:val="32"/>
          <w:szCs w:val="32"/>
        </w:rPr>
        <w:t>万元，主要原因是我部门切实落实勤俭节约各项规定，严格控制公务接待费支出。</w:t>
      </w:r>
    </w:p>
    <w:p w:rsidR="009E4078" w:rsidRDefault="009E4078">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p>
    <w:p w:rsidR="009E4078" w:rsidRDefault="00F6072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9E4078" w:rsidRDefault="00F6072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9E4078" w:rsidRDefault="00F6072D">
      <w:pPr>
        <w:numPr>
          <w:ilvl w:val="0"/>
          <w:numId w:val="1"/>
        </w:num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总体绩效目标</w:t>
      </w:r>
    </w:p>
    <w:p w:rsidR="009E4078" w:rsidRDefault="00F6072D" w:rsidP="009E4078">
      <w:pPr>
        <w:spacing w:beforeLines="50" w:afterLines="50"/>
        <w:jc w:val="left"/>
        <w:outlineLvl w:val="2"/>
        <w:rPr>
          <w:rFonts w:ascii="Times New Roman" w:eastAsia="方正仿宋_GBK"/>
          <w:sz w:val="28"/>
        </w:rPr>
      </w:pPr>
      <w:r>
        <w:rPr>
          <w:rFonts w:ascii="Times New Roman" w:eastAsia="方正仿宋_GBK" w:hint="eastAsia"/>
          <w:sz w:val="28"/>
        </w:rPr>
        <w:t xml:space="preserve">      </w:t>
      </w:r>
      <w:r>
        <w:rPr>
          <w:rFonts w:ascii="Times New Roman" w:eastAsia="仿宋_GB2312" w:hAnsi="Times New Roman" w:cs="Times New Roman" w:hint="eastAsia"/>
          <w:sz w:val="32"/>
          <w:szCs w:val="32"/>
        </w:rPr>
        <w:t>以习近平新时代中国特色社会主义思想为指导，深入贯彻中央和省、市决策部署，坚持以全面加强党的领导和扩大高水平对外开放为总体引领，全力外贸进出口、社会消费品零售总额两项指标任务，牢牢抓住开展招商引资、承办“</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经洽会等关键环节，扎实做好深化改革、开放合作、惠民发展等方面重要文章，稳步推进基层党的建设、招商引资、安全生产三项中心工作，通过夯实基础，促进主要指标换档提速、关键领域创新突破、重点工作提质增效，努力促进商贸事务实现高质量发展，为加快建设经济强市、美丽三河做出贡献</w:t>
      </w:r>
      <w:r>
        <w:rPr>
          <w:rFonts w:ascii="Times New Roman" w:eastAsia="方正仿宋_GBK" w:hint="eastAsia"/>
          <w:sz w:val="28"/>
        </w:rPr>
        <w:t>。</w:t>
      </w:r>
    </w:p>
    <w:p w:rsidR="009E4078" w:rsidRDefault="00F6072D">
      <w:pPr>
        <w:spacing w:line="584" w:lineRule="exact"/>
        <w:rPr>
          <w:rFonts w:ascii="楷体_GB2312" w:eastAsia="楷体_GB2312" w:cs="Times New Roman"/>
          <w:b/>
          <w:sz w:val="32"/>
          <w:szCs w:val="32"/>
        </w:rPr>
      </w:pPr>
      <w:r>
        <w:rPr>
          <w:rFonts w:ascii="楷体_GB2312" w:eastAsia="楷体_GB2312" w:cs="Times New Roman" w:hint="eastAsia"/>
          <w:b/>
          <w:sz w:val="32"/>
          <w:szCs w:val="32"/>
        </w:rPr>
        <w:t xml:space="preserve">    （二）分项绩效目标</w:t>
      </w:r>
    </w:p>
    <w:p w:rsidR="009E4078" w:rsidRDefault="00F6072D" w:rsidP="009E4078">
      <w:pPr>
        <w:spacing w:beforeLines="50" w:afterLines="50"/>
        <w:jc w:val="left"/>
        <w:outlineLvl w:val="2"/>
        <w:rPr>
          <w:rFonts w:ascii="Times New Roman" w:eastAsia="仿宋_GB2312" w:hAnsi="Times New Roman" w:cs="Times New Roman"/>
          <w:b/>
          <w:bCs/>
          <w:sz w:val="32"/>
          <w:szCs w:val="32"/>
        </w:rPr>
      </w:pPr>
      <w:r>
        <w:rPr>
          <w:rFonts w:ascii="Times New Roman" w:eastAsia="方正仿宋_GBK" w:hint="eastAsia"/>
          <w:sz w:val="28"/>
        </w:rPr>
        <w:t xml:space="preserve">     </w:t>
      </w:r>
      <w:r>
        <w:rPr>
          <w:rFonts w:ascii="Times New Roman" w:eastAsia="方正仿宋_GBK" w:hint="eastAsia"/>
          <w:b/>
          <w:bCs/>
          <w:sz w:val="28"/>
        </w:rPr>
        <w:t xml:space="preserve"> </w:t>
      </w:r>
      <w:r>
        <w:rPr>
          <w:rFonts w:ascii="Times New Roman" w:eastAsia="仿宋_GB2312" w:hAnsi="Times New Roman" w:cs="Times New Roman" w:hint="eastAsia"/>
          <w:b/>
          <w:bCs/>
          <w:sz w:val="32"/>
          <w:szCs w:val="32"/>
        </w:rPr>
        <w:t>1</w:t>
      </w:r>
      <w:r>
        <w:rPr>
          <w:rFonts w:ascii="Times New Roman" w:eastAsia="仿宋_GB2312" w:hAnsi="Times New Roman" w:cs="Times New Roman" w:hint="eastAsia"/>
          <w:b/>
          <w:bCs/>
          <w:sz w:val="32"/>
          <w:szCs w:val="32"/>
        </w:rPr>
        <w:t>、确保全市外贸出口额稳定增长</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绩效目标：促进外贸主体培育，开展企业帮扶，帮助企业开拓国际市场，持续推进外贸转型升级，稳步提升出口企业国际市场开拓能力，不断扩大外贸主体，外贸出口结构进一步优化。</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继续实行《三河市外贸出口奖励办法》等外贸出口奖励政策，以海关统计出口额为依据，为符合条件的出口大户及出口额增长较快企业发放奖励资金，保障优化外贸商品结构、市场结构、主体结构、贸易方式结构，实现我市外贸出口额稳定增长；落实省级下达企业贷款贴息补贴、中小企业开拓国际市场费用补助、出口信用保险补贴等外贸专项补贴资金，为出口企业发展提供支持，提高小微企业国际市场竞争力。</w:t>
      </w:r>
    </w:p>
    <w:p w:rsidR="009E4078" w:rsidRDefault="00F6072D" w:rsidP="009E4078">
      <w:pPr>
        <w:spacing w:beforeLines="50" w:afterLines="50"/>
        <w:jc w:val="left"/>
        <w:outlineLvl w:val="2"/>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bCs/>
          <w:sz w:val="32"/>
          <w:szCs w:val="32"/>
        </w:rPr>
        <w:t xml:space="preserve">   2</w:t>
      </w:r>
      <w:r>
        <w:rPr>
          <w:rFonts w:ascii="Times New Roman" w:eastAsia="仿宋_GB2312" w:hAnsi="Times New Roman" w:cs="Times New Roman" w:hint="eastAsia"/>
          <w:b/>
          <w:bCs/>
          <w:sz w:val="32"/>
          <w:szCs w:val="32"/>
        </w:rPr>
        <w:t>、加大招商引资力度</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绩效目标：进一步夯实招商基础工作，持续推进各类招商活动，进一步优化外商投资环境，大力引进境外、省外投资大项目好项目，保障全市招商引资工作取得明显成效，力促我市招商引资工作再上新台阶。</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绩效指标：组织我市相关企业参加博鳌、达沃斯论坛、“</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”、进博会、“</w:t>
      </w:r>
      <w:r>
        <w:rPr>
          <w:rFonts w:ascii="Times New Roman" w:eastAsia="仿宋_GB2312" w:hAnsi="Times New Roman" w:cs="Times New Roman" w:hint="eastAsia"/>
          <w:sz w:val="32"/>
          <w:szCs w:val="32"/>
        </w:rPr>
        <w:t>9.8</w:t>
      </w:r>
      <w:r>
        <w:rPr>
          <w:rFonts w:ascii="Times New Roman" w:eastAsia="仿宋_GB2312" w:hAnsi="Times New Roman" w:cs="Times New Roman" w:hint="eastAsia"/>
          <w:sz w:val="32"/>
          <w:szCs w:val="32"/>
        </w:rPr>
        <w:t>”厦门经贸洽谈会等重大经贸交流活动，全年组织对接活动不少于</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场次，保障现场签约率不小于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rsidR="009E4078" w:rsidRDefault="00F6072D" w:rsidP="009E4078">
      <w:pPr>
        <w:spacing w:beforeLines="50" w:afterLines="50"/>
        <w:jc w:val="left"/>
        <w:outlineLvl w:val="2"/>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bCs/>
          <w:sz w:val="32"/>
          <w:szCs w:val="32"/>
        </w:rPr>
        <w:t xml:space="preserve">   3</w:t>
      </w:r>
      <w:r>
        <w:rPr>
          <w:rFonts w:ascii="Times New Roman" w:eastAsia="仿宋_GB2312" w:hAnsi="Times New Roman" w:cs="Times New Roman" w:hint="eastAsia"/>
          <w:b/>
          <w:bCs/>
          <w:sz w:val="32"/>
          <w:szCs w:val="32"/>
        </w:rPr>
        <w:t>、推动批零住餐等流通企业转型升级</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绩效目标：围绕促消费、稳增长、惠民生，打造高品质消费载体，满足便利化消费需求，扩大网络消费规模，激发居民消费潜力，确保全年社会消费品零售总额稳定增长。</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绩效指标：按照我市统计部门提供企业名单，对全市限额以上批零住餐企业相关情况进行排查，对符合条件批零住餐入统企业按每户</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万元进行奖励，促进规模以上企业转型升级，保障全市经济向优质高端方向发展。</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bCs/>
          <w:sz w:val="32"/>
          <w:szCs w:val="32"/>
        </w:rPr>
        <w:t xml:space="preserve"> 4</w:t>
      </w:r>
      <w:r>
        <w:rPr>
          <w:rFonts w:ascii="Times New Roman" w:eastAsia="仿宋_GB2312" w:hAnsi="Times New Roman" w:cs="Times New Roman" w:hint="eastAsia"/>
          <w:b/>
          <w:bCs/>
          <w:sz w:val="32"/>
          <w:szCs w:val="32"/>
        </w:rPr>
        <w:t>、维护稳定，解决三总历史遗留问题</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按照市委市政府安排部署，协调解决三总历史遗留问题，维护稳定大局，减少违法违规上访事件，预防和减少不稳定隐患率达到</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每半年按职工申请为特困人员发放特困补助，帮扶大病及特困职工</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人左右，重大节日及敏感时段对涉军、下岗、法轮功等特殊群体进行一对一重点看护、接访，做到不稳定隐患排查率达到</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以上</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bCs/>
          <w:sz w:val="32"/>
          <w:szCs w:val="32"/>
        </w:rPr>
        <w:t xml:space="preserve">   5</w:t>
      </w:r>
      <w:r>
        <w:rPr>
          <w:rFonts w:ascii="Times New Roman" w:eastAsia="仿宋_GB2312" w:hAnsi="Times New Roman" w:cs="Times New Roman" w:hint="eastAsia"/>
          <w:b/>
          <w:bCs/>
          <w:sz w:val="32"/>
          <w:szCs w:val="32"/>
        </w:rPr>
        <w:t>、加强成品油市场监管力度，确保我市成品油市场秩序稳步提升</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绩效目标：以我市成品油市场领导小组为依托，加强成品油市场监管，完善成品油市场综合治理工作机制，大力开展成品油市场专项整治行动。</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一是加大对成品油市场的监管力度，维护成品油企业经营秩序；二是加强商务队伍建设，提高商务行政水平，；三是严格履行全市成品油市场综合治理工作领导小组办公室职责，完善档案管理、信息报送、定期通报、等制度机制；四是大力开展成品油市场专项整治行动，发现一起、整改一起、取缔一起，实现成品油市场违法违规行为查处率</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，确保成品油市场领域大气污染防治工作取得成效。</w:t>
      </w:r>
    </w:p>
    <w:p w:rsidR="009E4078" w:rsidRDefault="00F6072D" w:rsidP="009E4078">
      <w:pPr>
        <w:spacing w:beforeLines="50" w:afterLines="50"/>
        <w:jc w:val="left"/>
        <w:outlineLvl w:val="2"/>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 xml:space="preserve">    6</w:t>
      </w:r>
      <w:r>
        <w:rPr>
          <w:rFonts w:ascii="Times New Roman" w:eastAsia="仿宋_GB2312" w:hAnsi="Times New Roman" w:cs="Times New Roman" w:hint="eastAsia"/>
          <w:b/>
          <w:bCs/>
          <w:sz w:val="32"/>
          <w:szCs w:val="32"/>
        </w:rPr>
        <w:t>、落实安全生产责任制，确保商务领域安全生产形势稳定</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绩效目标：一是严格落实安全生产责任制，二是加强商务领域安全生产监督指导。</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一是落实好《领导干部安全生产责任制实施细则》，指导督促商贸流通企业定期排摸、定期核查、定期上报落实安全生产责任制情况；二是强化安全生产宣传教育和培训，开展应急处置演练，提高安全生产意识和能力，全年至少组织</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次安全生产培训。三是加大对大型商场超市等市场主体的日常监管和专项检查力度，完善安全生产制度和设施，提高安全生产工作水平。</w:t>
      </w:r>
    </w:p>
    <w:p w:rsidR="009E4078" w:rsidRDefault="00F6072D">
      <w:pPr>
        <w:spacing w:line="584" w:lineRule="exact"/>
        <w:rPr>
          <w:rFonts w:ascii="楷体_GB2312" w:eastAsia="楷体_GB2312" w:cs="Times New Roman"/>
          <w:b/>
          <w:sz w:val="32"/>
          <w:szCs w:val="32"/>
        </w:rPr>
      </w:pPr>
      <w:r>
        <w:rPr>
          <w:rFonts w:ascii="楷体_GB2312" w:eastAsia="楷体_GB2312" w:cs="Times New Roman" w:hint="eastAsia"/>
          <w:b/>
          <w:sz w:val="32"/>
          <w:szCs w:val="32"/>
        </w:rPr>
        <w:t xml:space="preserve">   （三）工作保障措施</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方正仿宋_GBK" w:hint="eastAsia"/>
          <w:sz w:val="28"/>
        </w:rPr>
        <w:t xml:space="preserve">   </w:t>
      </w:r>
      <w:r>
        <w:rPr>
          <w:rFonts w:ascii="Times New Roman" w:eastAsia="方正仿宋_GBK" w:hint="eastAsia"/>
          <w:b/>
          <w:bCs/>
          <w:sz w:val="28"/>
        </w:rPr>
        <w:t>1</w:t>
      </w:r>
      <w:r>
        <w:rPr>
          <w:rFonts w:ascii="Times New Roman" w:eastAsia="仿宋_GB2312" w:hAnsi="Times New Roman" w:cs="Times New Roman" w:hint="eastAsia"/>
          <w:b/>
          <w:bCs/>
          <w:sz w:val="32"/>
          <w:szCs w:val="32"/>
        </w:rPr>
        <w:t>、加强组织领导</w:t>
      </w:r>
      <w:r>
        <w:rPr>
          <w:rFonts w:ascii="Times New Roman" w:eastAsia="仿宋_GB2312" w:hAnsi="Times New Roman" w:cs="Times New Roman" w:hint="eastAsia"/>
          <w:sz w:val="32"/>
          <w:szCs w:val="32"/>
        </w:rPr>
        <w:t>。充分发挥党组的领导作用，统筹谋划全面实施预算绩效管理工作。成立由主要领导同志任组长的预算绩效工作领导小组，建立统筹协调、分工协作、密切配合、合力推进的工作机制。围绕年度总体绩效目标和分类绩效目标，细化工作方案，明确责任主体、实施进度要求，确保如期完成。</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bCs/>
          <w:sz w:val="32"/>
          <w:szCs w:val="32"/>
        </w:rPr>
        <w:t xml:space="preserve">  2</w:t>
      </w:r>
      <w:r>
        <w:rPr>
          <w:rFonts w:ascii="Times New Roman" w:eastAsia="仿宋_GB2312" w:hAnsi="Times New Roman" w:cs="Times New Roman" w:hint="eastAsia"/>
          <w:b/>
          <w:bCs/>
          <w:sz w:val="32"/>
          <w:szCs w:val="32"/>
        </w:rPr>
        <w:t>、健全制度体系。</w:t>
      </w:r>
      <w:r>
        <w:rPr>
          <w:rFonts w:ascii="Times New Roman" w:eastAsia="仿宋_GB2312" w:hAnsi="Times New Roman" w:cs="Times New Roman" w:hint="eastAsia"/>
          <w:sz w:val="32"/>
          <w:szCs w:val="32"/>
        </w:rPr>
        <w:t>围绕预算管理的主要内容和关键环节，建立事前评估、目标管理、运行监控、绩效评价、结果应用等全过程环节的预算绩效管理流程，出台机关财务、资金管理、政府采购等管理办法，完善绩效指标框架体系，健全内部控制管理制度，加强财务管理，规范财务行为，确保财务管理工作科学、规范、有序进行。</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bCs/>
          <w:sz w:val="32"/>
          <w:szCs w:val="32"/>
        </w:rPr>
        <w:t xml:space="preserve"> 3</w:t>
      </w:r>
      <w:r>
        <w:rPr>
          <w:rFonts w:ascii="Times New Roman" w:eastAsia="仿宋_GB2312" w:hAnsi="Times New Roman" w:cs="Times New Roman" w:hint="eastAsia"/>
          <w:b/>
          <w:bCs/>
          <w:sz w:val="32"/>
          <w:szCs w:val="32"/>
        </w:rPr>
        <w:t>、强化预算管理</w:t>
      </w:r>
      <w:r>
        <w:rPr>
          <w:rFonts w:ascii="Times New Roman" w:eastAsia="仿宋_GB2312" w:hAnsi="Times New Roman" w:cs="Times New Roman" w:hint="eastAsia"/>
          <w:sz w:val="32"/>
          <w:szCs w:val="32"/>
        </w:rPr>
        <w:t>。将绩效理念和方法深度融入预算编制、执行、监督全过程。严格预算编制，加强资金统筹，提升项目入库质量，切实编实编细预算。严格预算执行，及时启动项目和支付资金，加快履行政府采购程序，优化预算支出结构，合理改进支出方式，确保按照时间节点完成支出任务。强化预算执行刚性约束，督促处室加快执行进度，规范财政资金使用和管理，切实发挥财政资金使用效益。</w:t>
      </w:r>
    </w:p>
    <w:p w:rsidR="009E4078" w:rsidRDefault="00F6072D" w:rsidP="009E4078">
      <w:pPr>
        <w:spacing w:beforeLines="50" w:afterLines="50"/>
        <w:jc w:val="left"/>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bCs/>
          <w:sz w:val="32"/>
          <w:szCs w:val="32"/>
        </w:rPr>
        <w:t xml:space="preserve">  4</w:t>
      </w:r>
      <w:r>
        <w:rPr>
          <w:rFonts w:ascii="Times New Roman" w:eastAsia="仿宋_GB2312" w:hAnsi="Times New Roman" w:cs="Times New Roman" w:hint="eastAsia"/>
          <w:b/>
          <w:bCs/>
          <w:sz w:val="32"/>
          <w:szCs w:val="32"/>
        </w:rPr>
        <w:t>、搞好评价监督</w:t>
      </w:r>
      <w:r>
        <w:rPr>
          <w:rFonts w:ascii="Times New Roman" w:eastAsia="仿宋_GB2312" w:hAnsi="Times New Roman" w:cs="Times New Roman" w:hint="eastAsia"/>
          <w:sz w:val="32"/>
          <w:szCs w:val="32"/>
        </w:rPr>
        <w:t>。将部门政策、项目和预算收支全面纳入绩效管理。成立专门的评价工作小组，制定科学评价办法，通过自评和外部评价相结合的方式，对政策和项目资金支出的经济性、效率性及绩效目标实现程度进行全方位评价。建立绩效评价结果与预算安排和政策调整挂钩机制，推进绩效信息公开透明，主动面向社会公开，自觉接受人大和社会各界监督。</w:t>
      </w:r>
    </w:p>
    <w:p w:rsidR="009E4078" w:rsidRDefault="00F6072D" w:rsidP="009E4078">
      <w:pPr>
        <w:overflowPunct w:val="0"/>
        <w:adjustRightInd w:val="0"/>
        <w:snapToGrid w:val="0"/>
        <w:spacing w:afterLines="50" w:line="580" w:lineRule="exact"/>
        <w:ind w:firstLine="642"/>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p w:rsidR="009E4078" w:rsidRDefault="009E4078" w:rsidP="009E4078">
      <w:pPr>
        <w:overflowPunct w:val="0"/>
        <w:adjustRightInd w:val="0"/>
        <w:snapToGrid w:val="0"/>
        <w:spacing w:afterLines="50" w:line="580" w:lineRule="exact"/>
        <w:ind w:firstLine="642"/>
        <w:jc w:val="left"/>
        <w:rPr>
          <w:rFonts w:ascii="楷体_GB2312" w:eastAsia="楷体_GB2312" w:cs="Times New Roman"/>
          <w:b/>
          <w:sz w:val="32"/>
          <w:szCs w:val="32"/>
        </w:rPr>
      </w:pPr>
    </w:p>
    <w:p w:rsidR="009E4078" w:rsidRDefault="009E4078" w:rsidP="009E4078">
      <w:pPr>
        <w:overflowPunct w:val="0"/>
        <w:adjustRightInd w:val="0"/>
        <w:snapToGrid w:val="0"/>
        <w:spacing w:afterLines="50" w:line="580" w:lineRule="exact"/>
        <w:ind w:firstLine="642"/>
        <w:jc w:val="left"/>
        <w:rPr>
          <w:rFonts w:ascii="楷体_GB2312" w:eastAsia="楷体_GB2312" w:cs="Times New Roman"/>
          <w:b/>
          <w:sz w:val="32"/>
          <w:szCs w:val="32"/>
        </w:rPr>
      </w:pPr>
    </w:p>
    <w:p w:rsidR="009E4078" w:rsidRDefault="009E4078" w:rsidP="009E4078">
      <w:pPr>
        <w:overflowPunct w:val="0"/>
        <w:adjustRightInd w:val="0"/>
        <w:snapToGrid w:val="0"/>
        <w:spacing w:afterLines="50" w:line="580" w:lineRule="exact"/>
        <w:ind w:firstLine="642"/>
        <w:jc w:val="left"/>
        <w:rPr>
          <w:rFonts w:ascii="楷体_GB2312" w:eastAsia="楷体_GB2312" w:cs="Times New Roman"/>
          <w:b/>
          <w:sz w:val="32"/>
          <w:szCs w:val="32"/>
        </w:rPr>
      </w:pPr>
    </w:p>
    <w:tbl>
      <w:tblPr>
        <w:tblW w:w="13940" w:type="dxa"/>
        <w:jc w:val="center"/>
        <w:tblInd w:w="-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1040"/>
        <w:gridCol w:w="1134"/>
        <w:gridCol w:w="3355"/>
        <w:gridCol w:w="898"/>
        <w:gridCol w:w="3685"/>
        <w:gridCol w:w="511"/>
        <w:gridCol w:w="850"/>
        <w:gridCol w:w="709"/>
        <w:gridCol w:w="1758"/>
      </w:tblGrid>
      <w:tr w:rsidR="00F6072D" w:rsidTr="00177B10">
        <w:trPr>
          <w:trHeight w:val="419"/>
          <w:tblHeader/>
          <w:jc w:val="center"/>
        </w:trPr>
        <w:tc>
          <w:tcPr>
            <w:tcW w:w="1040" w:type="dxa"/>
            <w:vMerge w:val="restart"/>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一级指标</w:t>
            </w:r>
          </w:p>
        </w:tc>
        <w:tc>
          <w:tcPr>
            <w:tcW w:w="1134" w:type="dxa"/>
            <w:vMerge w:val="restart"/>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二级</w:t>
            </w:r>
          </w:p>
          <w:p w:rsidR="009E4078" w:rsidRDefault="00F6072D">
            <w:pPr>
              <w:widowControl/>
              <w:adjustRightInd w:val="0"/>
              <w:snapToGrid w:val="0"/>
              <w:jc w:val="center"/>
              <w:rPr>
                <w:rFonts w:ascii="方正书宋_GBK" w:eastAsia="方正书宋_GBK"/>
                <w:b/>
              </w:rPr>
            </w:pPr>
            <w:r>
              <w:rPr>
                <w:rFonts w:ascii="方正书宋_GBK" w:eastAsia="方正书宋_GBK"/>
                <w:b/>
              </w:rPr>
              <w:t>指标</w:t>
            </w:r>
          </w:p>
        </w:tc>
        <w:tc>
          <w:tcPr>
            <w:tcW w:w="3355" w:type="dxa"/>
            <w:vMerge w:val="restart"/>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三级</w:t>
            </w:r>
          </w:p>
          <w:p w:rsidR="009E4078" w:rsidRDefault="00F6072D">
            <w:pPr>
              <w:widowControl/>
              <w:adjustRightInd w:val="0"/>
              <w:snapToGrid w:val="0"/>
              <w:jc w:val="center"/>
              <w:rPr>
                <w:rFonts w:ascii="方正书宋_GBK" w:eastAsia="方正书宋_GBK"/>
                <w:b/>
              </w:rPr>
            </w:pPr>
            <w:r>
              <w:rPr>
                <w:rFonts w:ascii="方正书宋_GBK" w:eastAsia="方正书宋_GBK"/>
                <w:b/>
              </w:rPr>
              <w:t>指标</w:t>
            </w:r>
          </w:p>
        </w:tc>
        <w:tc>
          <w:tcPr>
            <w:tcW w:w="898" w:type="dxa"/>
            <w:vMerge w:val="restart"/>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评（扣）分标准</w:t>
            </w:r>
          </w:p>
        </w:tc>
        <w:tc>
          <w:tcPr>
            <w:tcW w:w="3685" w:type="dxa"/>
            <w:vMerge w:val="restart"/>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绩效指标</w:t>
            </w:r>
          </w:p>
          <w:p w:rsidR="009E4078" w:rsidRDefault="00F6072D">
            <w:pPr>
              <w:widowControl/>
              <w:adjustRightInd w:val="0"/>
              <w:snapToGrid w:val="0"/>
              <w:jc w:val="center"/>
              <w:rPr>
                <w:rFonts w:ascii="方正书宋_GBK" w:eastAsia="方正书宋_GBK"/>
                <w:b/>
              </w:rPr>
            </w:pPr>
            <w:r>
              <w:rPr>
                <w:rFonts w:ascii="方正书宋_GBK" w:eastAsia="方正书宋_GBK"/>
                <w:b/>
              </w:rPr>
              <w:t>描述</w:t>
            </w:r>
          </w:p>
        </w:tc>
        <w:tc>
          <w:tcPr>
            <w:tcW w:w="2070" w:type="dxa"/>
            <w:gridSpan w:val="3"/>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指标值</w:t>
            </w:r>
          </w:p>
        </w:tc>
        <w:tc>
          <w:tcPr>
            <w:tcW w:w="1758" w:type="dxa"/>
            <w:vMerge w:val="restart"/>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指标值</w:t>
            </w:r>
          </w:p>
          <w:p w:rsidR="009E4078" w:rsidRDefault="00F6072D">
            <w:pPr>
              <w:widowControl/>
              <w:adjustRightInd w:val="0"/>
              <w:snapToGrid w:val="0"/>
              <w:jc w:val="center"/>
              <w:rPr>
                <w:rFonts w:ascii="方正书宋_GBK" w:eastAsia="方正书宋_GBK"/>
                <w:b/>
              </w:rPr>
            </w:pPr>
            <w:r>
              <w:rPr>
                <w:rFonts w:ascii="方正书宋_GBK" w:eastAsia="方正书宋_GBK"/>
                <w:b/>
              </w:rPr>
              <w:t>确定依据</w:t>
            </w:r>
          </w:p>
        </w:tc>
      </w:tr>
      <w:tr w:rsidR="00F6072D" w:rsidTr="00897A8C">
        <w:trPr>
          <w:trHeight w:val="509"/>
          <w:tblHeader/>
          <w:jc w:val="center"/>
        </w:trPr>
        <w:tc>
          <w:tcPr>
            <w:tcW w:w="1040" w:type="dxa"/>
            <w:vMerge/>
            <w:tcBorders>
              <w:tl2br w:val="nil"/>
              <w:tr2bl w:val="nil"/>
            </w:tcBorders>
            <w:vAlign w:val="center"/>
          </w:tcPr>
          <w:p w:rsidR="009E4078" w:rsidRDefault="009E4078"/>
        </w:tc>
        <w:tc>
          <w:tcPr>
            <w:tcW w:w="1134" w:type="dxa"/>
            <w:vMerge/>
            <w:tcBorders>
              <w:tl2br w:val="nil"/>
              <w:tr2bl w:val="nil"/>
            </w:tcBorders>
            <w:vAlign w:val="center"/>
          </w:tcPr>
          <w:p w:rsidR="009E4078" w:rsidRDefault="009E4078"/>
        </w:tc>
        <w:tc>
          <w:tcPr>
            <w:tcW w:w="3355" w:type="dxa"/>
            <w:vMerge/>
            <w:tcBorders>
              <w:tl2br w:val="nil"/>
              <w:tr2bl w:val="nil"/>
            </w:tcBorders>
            <w:vAlign w:val="center"/>
          </w:tcPr>
          <w:p w:rsidR="009E4078" w:rsidRDefault="009E4078"/>
        </w:tc>
        <w:tc>
          <w:tcPr>
            <w:tcW w:w="898" w:type="dxa"/>
            <w:vMerge/>
            <w:tcBorders>
              <w:tl2br w:val="nil"/>
              <w:tr2bl w:val="nil"/>
            </w:tcBorders>
            <w:vAlign w:val="center"/>
          </w:tcPr>
          <w:p w:rsidR="009E4078" w:rsidRDefault="009E4078"/>
        </w:tc>
        <w:tc>
          <w:tcPr>
            <w:tcW w:w="3685" w:type="dxa"/>
            <w:vMerge/>
            <w:tcBorders>
              <w:tl2br w:val="nil"/>
              <w:tr2bl w:val="nil"/>
            </w:tcBorders>
            <w:vAlign w:val="center"/>
          </w:tcPr>
          <w:p w:rsidR="009E4078" w:rsidRDefault="009E4078"/>
        </w:tc>
        <w:tc>
          <w:tcPr>
            <w:tcW w:w="511" w:type="dxa"/>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符号</w:t>
            </w:r>
          </w:p>
        </w:tc>
        <w:tc>
          <w:tcPr>
            <w:tcW w:w="850" w:type="dxa"/>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值</w:t>
            </w:r>
          </w:p>
        </w:tc>
        <w:tc>
          <w:tcPr>
            <w:tcW w:w="709" w:type="dxa"/>
            <w:tcBorders>
              <w:tl2br w:val="nil"/>
              <w:tr2bl w:val="nil"/>
            </w:tcBorders>
            <w:vAlign w:val="center"/>
          </w:tcPr>
          <w:p w:rsidR="009E4078" w:rsidRDefault="00F6072D">
            <w:pPr>
              <w:widowControl/>
              <w:adjustRightInd w:val="0"/>
              <w:snapToGrid w:val="0"/>
              <w:jc w:val="center"/>
              <w:rPr>
                <w:rFonts w:ascii="方正书宋_GBK" w:eastAsia="方正书宋_GBK"/>
                <w:b/>
              </w:rPr>
            </w:pPr>
            <w:r>
              <w:rPr>
                <w:rFonts w:ascii="方正书宋_GBK" w:eastAsia="方正书宋_GBK"/>
                <w:b/>
              </w:rPr>
              <w:t>单位</w:t>
            </w:r>
          </w:p>
        </w:tc>
        <w:tc>
          <w:tcPr>
            <w:tcW w:w="1758" w:type="dxa"/>
            <w:vMerge/>
            <w:tcBorders>
              <w:tl2br w:val="nil"/>
              <w:tr2bl w:val="nil"/>
            </w:tcBorders>
            <w:vAlign w:val="center"/>
          </w:tcPr>
          <w:p w:rsidR="009E4078" w:rsidRDefault="009E4078"/>
        </w:tc>
      </w:tr>
      <w:tr w:rsidR="00F6072D" w:rsidTr="00897A8C">
        <w:trPr>
          <w:trHeight w:val="401"/>
          <w:jc w:val="center"/>
        </w:trPr>
        <w:tc>
          <w:tcPr>
            <w:tcW w:w="1040" w:type="dxa"/>
            <w:vMerge w:val="restart"/>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部门产出</w:t>
            </w:r>
          </w:p>
        </w:tc>
        <w:tc>
          <w:tcPr>
            <w:tcW w:w="1134"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数量</w:t>
            </w: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重点工作一完成数</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重点工作完成数量</w:t>
            </w:r>
          </w:p>
        </w:tc>
        <w:tc>
          <w:tcPr>
            <w:tcW w:w="511"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8</w:t>
            </w:r>
          </w:p>
        </w:tc>
        <w:tc>
          <w:tcPr>
            <w:tcW w:w="709" w:type="dxa"/>
            <w:tcBorders>
              <w:tl2br w:val="nil"/>
              <w:tr2bl w:val="nil"/>
            </w:tcBorders>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个</w:t>
            </w:r>
          </w:p>
        </w:tc>
        <w:tc>
          <w:tcPr>
            <w:tcW w:w="1758"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部门职责</w:t>
            </w:r>
          </w:p>
        </w:tc>
      </w:tr>
      <w:tr w:rsidR="00F6072D" w:rsidTr="00897A8C">
        <w:trPr>
          <w:trHeight w:val="563"/>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质量</w:t>
            </w: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重点工作完成率</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重点工作完成数量占全部工作比率</w:t>
            </w:r>
          </w:p>
        </w:tc>
        <w:tc>
          <w:tcPr>
            <w:tcW w:w="511"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90</w:t>
            </w:r>
          </w:p>
        </w:tc>
        <w:tc>
          <w:tcPr>
            <w:tcW w:w="709"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w:t>
            </w:r>
          </w:p>
        </w:tc>
        <w:tc>
          <w:tcPr>
            <w:tcW w:w="1758"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部门职责</w:t>
            </w:r>
          </w:p>
        </w:tc>
      </w:tr>
      <w:tr w:rsidR="00F6072D" w:rsidTr="00897A8C">
        <w:trPr>
          <w:trHeight w:val="458"/>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时效</w:t>
            </w: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资金发放及时率</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资金发放是否及时</w:t>
            </w:r>
          </w:p>
        </w:tc>
        <w:tc>
          <w:tcPr>
            <w:tcW w:w="511" w:type="dxa"/>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850"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按时到位</w:t>
            </w:r>
          </w:p>
        </w:tc>
        <w:tc>
          <w:tcPr>
            <w:tcW w:w="709" w:type="dxa"/>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758"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相关文件规定</w:t>
            </w:r>
          </w:p>
        </w:tc>
      </w:tr>
      <w:tr w:rsidR="00F6072D" w:rsidTr="00897A8C">
        <w:trPr>
          <w:trHeight w:val="378"/>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成本</w:t>
            </w: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奖补资金数额</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为企业申报奖补资金数额总量</w:t>
            </w:r>
          </w:p>
        </w:tc>
        <w:tc>
          <w:tcPr>
            <w:tcW w:w="511"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400</w:t>
            </w:r>
          </w:p>
        </w:tc>
        <w:tc>
          <w:tcPr>
            <w:tcW w:w="709"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万元</w:t>
            </w:r>
          </w:p>
        </w:tc>
        <w:tc>
          <w:tcPr>
            <w:tcW w:w="1758"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上级批示</w:t>
            </w:r>
          </w:p>
        </w:tc>
      </w:tr>
      <w:tr w:rsidR="00F6072D" w:rsidTr="00897A8C">
        <w:trPr>
          <w:trHeight w:val="434"/>
          <w:jc w:val="center"/>
        </w:trPr>
        <w:tc>
          <w:tcPr>
            <w:tcW w:w="1040" w:type="dxa"/>
            <w:vMerge w:val="restart"/>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部门效果</w:t>
            </w:r>
          </w:p>
        </w:tc>
        <w:tc>
          <w:tcPr>
            <w:tcW w:w="1134" w:type="dxa"/>
            <w:vMerge w:val="restart"/>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社会效益</w:t>
            </w: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出口企业持续出口</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每年的出口企业数量</w:t>
            </w:r>
          </w:p>
        </w:tc>
        <w:tc>
          <w:tcPr>
            <w:tcW w:w="511"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40</w:t>
            </w:r>
          </w:p>
        </w:tc>
        <w:tc>
          <w:tcPr>
            <w:tcW w:w="709"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家</w:t>
            </w:r>
          </w:p>
        </w:tc>
        <w:tc>
          <w:tcPr>
            <w:tcW w:w="1758"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海关出口数据</w:t>
            </w:r>
          </w:p>
        </w:tc>
      </w:tr>
      <w:tr w:rsidR="00F6072D" w:rsidTr="00897A8C">
        <w:trPr>
          <w:trHeight w:val="398"/>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带动新的出口企业</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新增备案出口企业数量</w:t>
            </w:r>
          </w:p>
        </w:tc>
        <w:tc>
          <w:tcPr>
            <w:tcW w:w="511"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10</w:t>
            </w:r>
          </w:p>
        </w:tc>
        <w:tc>
          <w:tcPr>
            <w:tcW w:w="709"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家</w:t>
            </w:r>
          </w:p>
        </w:tc>
        <w:tc>
          <w:tcPr>
            <w:tcW w:w="1758"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商务部平台统计</w:t>
            </w:r>
          </w:p>
        </w:tc>
      </w:tr>
      <w:tr w:rsidR="00F6072D" w:rsidTr="00897A8C">
        <w:trPr>
          <w:trHeight w:val="418"/>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招商活动签约项目个数</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招商活动的签约项目个数</w:t>
            </w:r>
          </w:p>
        </w:tc>
        <w:tc>
          <w:tcPr>
            <w:tcW w:w="511"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 xml:space="preserve">  ≥</w:t>
            </w:r>
          </w:p>
        </w:tc>
        <w:tc>
          <w:tcPr>
            <w:tcW w:w="850"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10</w:t>
            </w:r>
          </w:p>
        </w:tc>
        <w:tc>
          <w:tcPr>
            <w:tcW w:w="709"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个</w:t>
            </w:r>
          </w:p>
        </w:tc>
        <w:tc>
          <w:tcPr>
            <w:tcW w:w="1758"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工作计划</w:t>
            </w:r>
          </w:p>
        </w:tc>
      </w:tr>
      <w:tr w:rsidR="00F6072D" w:rsidTr="00897A8C">
        <w:trPr>
          <w:trHeight w:val="410"/>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3355" w:type="dxa"/>
            <w:tcBorders>
              <w:tl2br w:val="nil"/>
              <w:tr2bl w:val="nil"/>
            </w:tcBorders>
            <w:shd w:val="clear" w:color="auto" w:fill="FFFFFF"/>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重大安全生产事故发生起数</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shd w:val="clear" w:color="auto" w:fill="FFFFFF"/>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通过项目实施重大安全生产事故发生情况</w:t>
            </w:r>
          </w:p>
        </w:tc>
        <w:tc>
          <w:tcPr>
            <w:tcW w:w="511"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p>
        </w:tc>
        <w:tc>
          <w:tcPr>
            <w:tcW w:w="709"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起</w:t>
            </w:r>
          </w:p>
        </w:tc>
        <w:tc>
          <w:tcPr>
            <w:tcW w:w="1758"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工作计划</w:t>
            </w:r>
          </w:p>
        </w:tc>
      </w:tr>
      <w:tr w:rsidR="00F6072D" w:rsidTr="00897A8C">
        <w:trPr>
          <w:trHeight w:val="416"/>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vMerge w:val="restart"/>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经济效益</w:t>
            </w:r>
          </w:p>
        </w:tc>
        <w:tc>
          <w:tcPr>
            <w:tcW w:w="3355" w:type="dxa"/>
            <w:tcBorders>
              <w:tl2br w:val="nil"/>
              <w:tr2bl w:val="nil"/>
            </w:tcBorders>
            <w:shd w:val="clear" w:color="auto" w:fill="FFFFFF"/>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外商投资企业纳税总额</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shd w:val="clear" w:color="auto" w:fill="FFFFFF"/>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外商投资企业纳税总额</w:t>
            </w:r>
          </w:p>
        </w:tc>
        <w:tc>
          <w:tcPr>
            <w:tcW w:w="511"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1000</w:t>
            </w:r>
          </w:p>
        </w:tc>
        <w:tc>
          <w:tcPr>
            <w:tcW w:w="709"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万元</w:t>
            </w:r>
          </w:p>
        </w:tc>
        <w:tc>
          <w:tcPr>
            <w:tcW w:w="1758"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税务局统计</w:t>
            </w:r>
          </w:p>
        </w:tc>
      </w:tr>
      <w:tr w:rsidR="00F6072D" w:rsidTr="00897A8C">
        <w:trPr>
          <w:trHeight w:val="423"/>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招商活动签约项目金额</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招商活动签约项目金额情况</w:t>
            </w:r>
          </w:p>
        </w:tc>
        <w:tc>
          <w:tcPr>
            <w:tcW w:w="511"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20</w:t>
            </w:r>
          </w:p>
        </w:tc>
        <w:tc>
          <w:tcPr>
            <w:tcW w:w="709"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亿元</w:t>
            </w:r>
          </w:p>
        </w:tc>
        <w:tc>
          <w:tcPr>
            <w:tcW w:w="1758"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工作计划</w:t>
            </w:r>
          </w:p>
        </w:tc>
      </w:tr>
      <w:tr w:rsidR="00F6072D" w:rsidTr="00897A8C">
        <w:trPr>
          <w:trHeight w:val="414"/>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出口创汇</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三河市企业出口额</w:t>
            </w:r>
          </w:p>
        </w:tc>
        <w:tc>
          <w:tcPr>
            <w:tcW w:w="511"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8000</w:t>
            </w:r>
          </w:p>
        </w:tc>
        <w:tc>
          <w:tcPr>
            <w:tcW w:w="709"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万美元</w:t>
            </w:r>
          </w:p>
        </w:tc>
        <w:tc>
          <w:tcPr>
            <w:tcW w:w="1758"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海关出口数据</w:t>
            </w:r>
          </w:p>
        </w:tc>
      </w:tr>
      <w:tr w:rsidR="00F6072D" w:rsidTr="00897A8C">
        <w:trPr>
          <w:trHeight w:val="542"/>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生态效益</w:t>
            </w: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做好成品油市场管理，减少污染物排放</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减少污染物排放</w:t>
            </w:r>
          </w:p>
        </w:tc>
        <w:tc>
          <w:tcPr>
            <w:tcW w:w="511" w:type="dxa"/>
            <w:tcBorders>
              <w:tl2br w:val="nil"/>
              <w:tr2bl w:val="nil"/>
            </w:tcBorders>
            <w:shd w:val="clear" w:color="auto" w:fill="auto"/>
            <w:vAlign w:val="center"/>
          </w:tcPr>
          <w:p w:rsidR="009E4078" w:rsidRDefault="009E4078">
            <w:pPr>
              <w:widowControl/>
              <w:jc w:val="left"/>
              <w:textAlignment w:val="center"/>
              <w:rPr>
                <w:rFonts w:ascii="宋体" w:hAnsi="宋体" w:cs="宋体"/>
                <w:color w:val="000000"/>
                <w:kern w:val="0"/>
                <w:sz w:val="20"/>
                <w:szCs w:val="20"/>
                <w:lang/>
              </w:rPr>
            </w:pPr>
          </w:p>
        </w:tc>
        <w:tc>
          <w:tcPr>
            <w:tcW w:w="850"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有效减少</w:t>
            </w:r>
          </w:p>
        </w:tc>
        <w:tc>
          <w:tcPr>
            <w:tcW w:w="709" w:type="dxa"/>
            <w:tcBorders>
              <w:tl2br w:val="nil"/>
              <w:tr2bl w:val="nil"/>
            </w:tcBorders>
            <w:shd w:val="clear" w:color="auto" w:fill="auto"/>
            <w:vAlign w:val="center"/>
          </w:tcPr>
          <w:p w:rsidR="009E4078" w:rsidRDefault="009E4078">
            <w:pPr>
              <w:widowControl/>
              <w:jc w:val="left"/>
              <w:textAlignment w:val="center"/>
              <w:rPr>
                <w:rFonts w:ascii="宋体" w:hAnsi="宋体" w:cs="宋体"/>
                <w:color w:val="000000"/>
                <w:kern w:val="0"/>
                <w:sz w:val="20"/>
                <w:szCs w:val="20"/>
                <w:lang/>
              </w:rPr>
            </w:pPr>
          </w:p>
        </w:tc>
        <w:tc>
          <w:tcPr>
            <w:tcW w:w="1758" w:type="dxa"/>
            <w:tcBorders>
              <w:tl2br w:val="nil"/>
              <w:tr2bl w:val="nil"/>
            </w:tcBorders>
            <w:shd w:val="clear" w:color="auto" w:fill="auto"/>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工作计划</w:t>
            </w:r>
          </w:p>
        </w:tc>
      </w:tr>
      <w:tr w:rsidR="00F6072D" w:rsidTr="00897A8C">
        <w:trPr>
          <w:trHeight w:val="344"/>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vMerge w:val="restart"/>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可持续影响</w:t>
            </w: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资产管理制度健全性</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资产管理制度状况</w:t>
            </w:r>
          </w:p>
        </w:tc>
        <w:tc>
          <w:tcPr>
            <w:tcW w:w="511" w:type="dxa"/>
            <w:tcBorders>
              <w:tl2br w:val="nil"/>
              <w:tr2bl w:val="nil"/>
            </w:tcBorders>
          </w:tcPr>
          <w:p w:rsidR="009E4078" w:rsidRDefault="009E4078">
            <w:pPr>
              <w:widowControl/>
              <w:jc w:val="left"/>
              <w:textAlignment w:val="center"/>
              <w:rPr>
                <w:rFonts w:ascii="宋体" w:hAnsi="宋体" w:cs="宋体"/>
                <w:color w:val="000000"/>
                <w:kern w:val="0"/>
                <w:sz w:val="20"/>
                <w:szCs w:val="20"/>
                <w:lang/>
              </w:rPr>
            </w:pPr>
          </w:p>
        </w:tc>
        <w:tc>
          <w:tcPr>
            <w:tcW w:w="850" w:type="dxa"/>
            <w:tcBorders>
              <w:tl2br w:val="nil"/>
              <w:tr2bl w:val="nil"/>
            </w:tcBorders>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健全</w:t>
            </w:r>
          </w:p>
        </w:tc>
        <w:tc>
          <w:tcPr>
            <w:tcW w:w="709" w:type="dxa"/>
            <w:tcBorders>
              <w:tl2br w:val="nil"/>
              <w:tr2bl w:val="nil"/>
            </w:tcBorders>
          </w:tcPr>
          <w:p w:rsidR="009E4078" w:rsidRDefault="009E4078">
            <w:pPr>
              <w:widowControl/>
              <w:jc w:val="left"/>
              <w:textAlignment w:val="center"/>
              <w:rPr>
                <w:rFonts w:ascii="宋体" w:hAnsi="宋体" w:cs="宋体"/>
                <w:color w:val="000000"/>
                <w:kern w:val="0"/>
                <w:sz w:val="20"/>
                <w:szCs w:val="20"/>
                <w:lang/>
              </w:rPr>
            </w:pPr>
          </w:p>
        </w:tc>
        <w:tc>
          <w:tcPr>
            <w:tcW w:w="1758"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资产管理制度</w:t>
            </w:r>
          </w:p>
        </w:tc>
      </w:tr>
      <w:tr w:rsidR="00F6072D" w:rsidTr="00897A8C">
        <w:trPr>
          <w:trHeight w:val="476"/>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财务管理制度健全性</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财务管理制度</w:t>
            </w:r>
          </w:p>
        </w:tc>
        <w:tc>
          <w:tcPr>
            <w:tcW w:w="511" w:type="dxa"/>
            <w:tcBorders>
              <w:tl2br w:val="nil"/>
              <w:tr2bl w:val="nil"/>
            </w:tcBorders>
          </w:tcPr>
          <w:p w:rsidR="009E4078" w:rsidRDefault="009E4078">
            <w:pPr>
              <w:widowControl/>
              <w:jc w:val="left"/>
              <w:textAlignment w:val="center"/>
              <w:rPr>
                <w:rFonts w:ascii="宋体" w:hAnsi="宋体" w:cs="宋体"/>
                <w:color w:val="000000"/>
                <w:kern w:val="0"/>
                <w:sz w:val="20"/>
                <w:szCs w:val="20"/>
                <w:lang/>
              </w:rPr>
            </w:pPr>
          </w:p>
        </w:tc>
        <w:tc>
          <w:tcPr>
            <w:tcW w:w="850" w:type="dxa"/>
            <w:tcBorders>
              <w:tl2br w:val="nil"/>
              <w:tr2bl w:val="nil"/>
            </w:tcBorders>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健全</w:t>
            </w:r>
          </w:p>
        </w:tc>
        <w:tc>
          <w:tcPr>
            <w:tcW w:w="709" w:type="dxa"/>
            <w:tcBorders>
              <w:tl2br w:val="nil"/>
              <w:tr2bl w:val="nil"/>
            </w:tcBorders>
          </w:tcPr>
          <w:p w:rsidR="009E4078" w:rsidRDefault="009E4078">
            <w:pPr>
              <w:widowControl/>
              <w:jc w:val="left"/>
              <w:textAlignment w:val="center"/>
              <w:rPr>
                <w:rFonts w:ascii="宋体" w:hAnsi="宋体" w:cs="宋体"/>
                <w:color w:val="000000"/>
                <w:kern w:val="0"/>
                <w:sz w:val="20"/>
                <w:szCs w:val="20"/>
                <w:lang/>
              </w:rPr>
            </w:pPr>
          </w:p>
        </w:tc>
        <w:tc>
          <w:tcPr>
            <w:tcW w:w="1758"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财务管理制度</w:t>
            </w:r>
          </w:p>
        </w:tc>
      </w:tr>
      <w:tr w:rsidR="00F6072D" w:rsidTr="00897A8C">
        <w:trPr>
          <w:trHeight w:val="427"/>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人员考核制度执行情况</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合规</w:t>
            </w:r>
          </w:p>
        </w:tc>
        <w:tc>
          <w:tcPr>
            <w:tcW w:w="511" w:type="dxa"/>
            <w:tcBorders>
              <w:tl2br w:val="nil"/>
              <w:tr2bl w:val="nil"/>
            </w:tcBorders>
          </w:tcPr>
          <w:p w:rsidR="009E4078" w:rsidRDefault="009E4078">
            <w:pPr>
              <w:widowControl/>
              <w:jc w:val="left"/>
              <w:textAlignment w:val="center"/>
              <w:rPr>
                <w:rFonts w:ascii="宋体" w:hAnsi="宋体" w:cs="宋体"/>
                <w:color w:val="000000"/>
                <w:kern w:val="0"/>
                <w:sz w:val="20"/>
                <w:szCs w:val="20"/>
                <w:lang/>
              </w:rPr>
            </w:pPr>
          </w:p>
        </w:tc>
        <w:tc>
          <w:tcPr>
            <w:tcW w:w="850" w:type="dxa"/>
            <w:tcBorders>
              <w:tl2br w:val="nil"/>
              <w:tr2bl w:val="nil"/>
            </w:tcBorders>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合规</w:t>
            </w:r>
          </w:p>
        </w:tc>
        <w:tc>
          <w:tcPr>
            <w:tcW w:w="709" w:type="dxa"/>
            <w:tcBorders>
              <w:tl2br w:val="nil"/>
              <w:tr2bl w:val="nil"/>
            </w:tcBorders>
          </w:tcPr>
          <w:p w:rsidR="009E4078" w:rsidRDefault="009E4078">
            <w:pPr>
              <w:widowControl/>
              <w:jc w:val="left"/>
              <w:textAlignment w:val="center"/>
              <w:rPr>
                <w:rFonts w:ascii="宋体" w:hAnsi="宋体" w:cs="宋体"/>
                <w:color w:val="000000"/>
                <w:kern w:val="0"/>
                <w:sz w:val="20"/>
                <w:szCs w:val="20"/>
                <w:lang/>
              </w:rPr>
            </w:pPr>
          </w:p>
        </w:tc>
        <w:tc>
          <w:tcPr>
            <w:tcW w:w="1758"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人员考核管理制度</w:t>
            </w:r>
          </w:p>
        </w:tc>
      </w:tr>
      <w:tr w:rsidR="00F6072D" w:rsidTr="00897A8C">
        <w:trPr>
          <w:trHeight w:val="540"/>
          <w:jc w:val="center"/>
        </w:trPr>
        <w:tc>
          <w:tcPr>
            <w:tcW w:w="1040" w:type="dxa"/>
            <w:vMerge/>
            <w:tcBorders>
              <w:tl2br w:val="nil"/>
              <w:tr2bl w:val="nil"/>
            </w:tcBorders>
            <w:vAlign w:val="center"/>
          </w:tcPr>
          <w:p w:rsidR="009E4078" w:rsidRDefault="009E4078">
            <w:pPr>
              <w:widowControl/>
              <w:jc w:val="left"/>
              <w:textAlignment w:val="center"/>
              <w:rPr>
                <w:rFonts w:ascii="宋体" w:hAnsi="宋体" w:cs="宋体"/>
                <w:color w:val="000000"/>
                <w:kern w:val="0"/>
                <w:sz w:val="20"/>
                <w:szCs w:val="20"/>
                <w:lang/>
              </w:rPr>
            </w:pPr>
          </w:p>
        </w:tc>
        <w:tc>
          <w:tcPr>
            <w:tcW w:w="1134"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满意度</w:t>
            </w:r>
          </w:p>
        </w:tc>
        <w:tc>
          <w:tcPr>
            <w:tcW w:w="335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服务对象满意度</w:t>
            </w:r>
          </w:p>
        </w:tc>
        <w:tc>
          <w:tcPr>
            <w:tcW w:w="898" w:type="dxa"/>
            <w:tcBorders>
              <w:tl2br w:val="nil"/>
              <w:tr2bl w:val="nil"/>
            </w:tcBorders>
            <w:vAlign w:val="center"/>
          </w:tcPr>
          <w:p w:rsidR="009E4078" w:rsidRDefault="00F6072D" w:rsidP="00F6072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无</w:t>
            </w:r>
          </w:p>
        </w:tc>
        <w:tc>
          <w:tcPr>
            <w:tcW w:w="3685"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服务对象满意程度</w:t>
            </w:r>
          </w:p>
        </w:tc>
        <w:tc>
          <w:tcPr>
            <w:tcW w:w="511"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w:t>
            </w:r>
          </w:p>
        </w:tc>
        <w:tc>
          <w:tcPr>
            <w:tcW w:w="850"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90</w:t>
            </w:r>
          </w:p>
        </w:tc>
        <w:tc>
          <w:tcPr>
            <w:tcW w:w="709"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color w:val="000000"/>
                <w:kern w:val="0"/>
                <w:sz w:val="20"/>
                <w:szCs w:val="20"/>
                <w:lang/>
              </w:rPr>
              <w:t>%</w:t>
            </w:r>
          </w:p>
        </w:tc>
        <w:tc>
          <w:tcPr>
            <w:tcW w:w="1758" w:type="dxa"/>
            <w:tcBorders>
              <w:tl2br w:val="nil"/>
              <w:tr2bl w:val="nil"/>
            </w:tcBorders>
            <w:vAlign w:val="center"/>
          </w:tcPr>
          <w:p w:rsidR="009E4078" w:rsidRDefault="00F6072D">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调查问卷</w:t>
            </w:r>
          </w:p>
        </w:tc>
      </w:tr>
    </w:tbl>
    <w:p w:rsidR="009E4078" w:rsidRDefault="009E4078">
      <w:pPr>
        <w:widowControl/>
        <w:jc w:val="left"/>
        <w:textAlignment w:val="center"/>
        <w:rPr>
          <w:rFonts w:ascii="宋体" w:hAnsi="宋体" w:cs="宋体"/>
          <w:color w:val="000000"/>
          <w:kern w:val="0"/>
          <w:sz w:val="20"/>
          <w:szCs w:val="20"/>
          <w:lang/>
        </w:rPr>
      </w:pPr>
    </w:p>
    <w:p w:rsidR="009E4078" w:rsidRDefault="00F6072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9E4078" w:rsidRDefault="009E4078">
      <w:pPr>
        <w:spacing w:line="584" w:lineRule="exact"/>
        <w:ind w:firstLineChars="200" w:firstLine="640"/>
        <w:rPr>
          <w:rFonts w:ascii="Times New Roman" w:eastAsia="黑体" w:hAnsi="Times New Roman" w:cs="Times New Roman"/>
          <w:sz w:val="32"/>
          <w:szCs w:val="32"/>
        </w:rPr>
      </w:pPr>
    </w:p>
    <w:p w:rsidR="009E4078" w:rsidRDefault="00F6072D" w:rsidP="009E4078">
      <w:pPr>
        <w:numPr>
          <w:ilvl w:val="0"/>
          <w:numId w:val="2"/>
        </w:numPr>
        <w:ind w:firstLineChars="200" w:firstLine="562"/>
        <w:jc w:val="left"/>
        <w:rPr>
          <w:rFonts w:ascii="方正仿宋_GBK" w:eastAsia="方正仿宋_GBK"/>
          <w:b/>
          <w:sz w:val="28"/>
        </w:rPr>
      </w:pPr>
      <w:r>
        <w:rPr>
          <w:rFonts w:ascii="方正仿宋_GBK" w:eastAsia="方正仿宋_GBK" w:hint="eastAsia"/>
          <w:b/>
          <w:sz w:val="28"/>
        </w:rPr>
        <w:t>解决历史遗留问题经费绩效目标表</w:t>
      </w:r>
    </w:p>
    <w:p w:rsidR="009E4078" w:rsidRDefault="009E4078">
      <w:pPr>
        <w:jc w:val="left"/>
        <w:rPr>
          <w:rFonts w:ascii="方正仿宋_GBK" w:eastAsia="方正仿宋_GBK"/>
          <w:b/>
          <w:sz w:val="28"/>
        </w:rPr>
      </w:pP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通过解决三总历史遗留问题，实现维护各类人群思想稳定、保证社会稳定，维护社会秩序</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通过对下岗人员、涉军群体、法轮功人员等群体进行看护、接访，发放特困补助、对外贸家属楼物业管理等工作开展，解决三总历史遗留问题，保障各类人群思想稳定，确保不出现非法上访事件。</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补助人员数量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领取特困补助人数</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人</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年预算批复</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工作完成率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工作完成情况比率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100%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发放明细表</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发放补助及时性</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按照计划时间发放补助</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及时</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发放明细表</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补助标准</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每人补助标准</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3000</w:t>
            </w:r>
            <w:r>
              <w:rPr>
                <w:rFonts w:ascii="方正书宋_GBK" w:eastAsia="方正书宋_GBK" w:hint="eastAsia"/>
              </w:rPr>
              <w:t>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历史经验及行业标准</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信访案件发生率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信访案件发生比率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预防和减少不稳定隐患率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上访事件及人数减少与上年同期比率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增强服务保障能力。</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增强服务保障能力。</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增强</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群众满意度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群众满意度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受益群体满意度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三总特困群体满意程度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bl>
    <w:p w:rsidR="009E4078" w:rsidRDefault="009E4078">
      <w:pPr>
        <w:spacing w:line="300" w:lineRule="exact"/>
        <w:jc w:val="left"/>
      </w:pPr>
    </w:p>
    <w:p w:rsidR="009E4078" w:rsidRDefault="00F6072D" w:rsidP="009E4078">
      <w:pPr>
        <w:ind w:firstLineChars="200" w:firstLine="562"/>
        <w:jc w:val="left"/>
        <w:rPr>
          <w:rFonts w:ascii="Times New Roman" w:hAnsi="宋体"/>
          <w:b/>
          <w:sz w:val="28"/>
        </w:rPr>
      </w:pPr>
      <w:r>
        <w:rPr>
          <w:rFonts w:ascii="方正仿宋_GBK" w:eastAsia="方正仿宋_GBK" w:hint="eastAsia"/>
          <w:b/>
          <w:sz w:val="28"/>
        </w:rPr>
        <w:t>2、限额以上批零住餐企业奖励资金绩效目标表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通过对限额以上批零住餐企业摸底调查并对具备相应规模企业进行奖励，进一步提升我市企业综合竞争力，推动经历结构调整和产业转型升级，使规模以上服务业企业和批零住餐限上企业进一步做大做强。</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通过对企业相关情况进行排查，为符合入统条件的企业发放奖励金，保障全市经济向优质高端发展。</w:t>
            </w:r>
          </w:p>
          <w:p w:rsidR="009E4078" w:rsidRDefault="00F6072D">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通过为企业发放奖励资金，达到帮扶企业、助力企业专项升级的目。</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检查企业数量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检查企业个数</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个</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《三河市人民政府关于进一步培育壮大规模以上工业企业、规模以上服务业企业、批零住餐限上企业的实施意见（试行）》三政【</w:t>
            </w:r>
            <w:r>
              <w:rPr>
                <w:rFonts w:ascii="方正书宋_GBK" w:eastAsia="方正书宋_GBK"/>
              </w:rPr>
              <w:t>2016</w:t>
            </w:r>
            <w:r>
              <w:rPr>
                <w:rFonts w:ascii="方正书宋_GBK" w:eastAsia="方正书宋_GBK" w:hint="eastAsia"/>
              </w:rPr>
              <w:t>】</w:t>
            </w:r>
            <w:r>
              <w:rPr>
                <w:rFonts w:ascii="方正书宋_GBK" w:eastAsia="方正书宋_GBK"/>
              </w:rPr>
              <w:t>56</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补助企业数量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补助企业个数</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18</w:t>
            </w:r>
            <w:r>
              <w:rPr>
                <w:rFonts w:ascii="方正书宋_GBK" w:eastAsia="方正书宋_GBK" w:hint="eastAsia"/>
              </w:rPr>
              <w:t>家</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统计局提供入统企业名单</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申报企业发放覆盖率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补助企业数量占申报企业数量比率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《三河市人民政府关于进一步培育壮大规模以上工业企业、规模以上服务业企业、批零住餐限上企业的实施意见（试行）》三政【</w:t>
            </w:r>
            <w:r>
              <w:rPr>
                <w:rFonts w:ascii="方正书宋_GBK" w:eastAsia="方正书宋_GBK"/>
              </w:rPr>
              <w:t>2016</w:t>
            </w:r>
            <w:r>
              <w:rPr>
                <w:rFonts w:ascii="方正书宋_GBK" w:eastAsia="方正书宋_GBK" w:hint="eastAsia"/>
              </w:rPr>
              <w:t>】</w:t>
            </w:r>
            <w:r>
              <w:rPr>
                <w:rFonts w:ascii="方正书宋_GBK" w:eastAsia="方正书宋_GBK"/>
              </w:rPr>
              <w:t>56</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完成月份</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为入统企业发放奖励资金时间</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月</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补助金额企业平均成本</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补助金额企业平均成本</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万元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《三河市人民政府关于进一步培育壮大规模以上工业企业、规模以上服务业企业、批零住餐限上企业的实施意见（试行）》三政【</w:t>
            </w:r>
            <w:r>
              <w:rPr>
                <w:rFonts w:ascii="方正书宋_GBK" w:eastAsia="方正书宋_GBK"/>
              </w:rPr>
              <w:t>2016</w:t>
            </w:r>
            <w:r>
              <w:rPr>
                <w:rFonts w:ascii="方正书宋_GBK" w:eastAsia="方正书宋_GBK" w:hint="eastAsia"/>
              </w:rPr>
              <w:t>】</w:t>
            </w:r>
            <w:r>
              <w:rPr>
                <w:rFonts w:ascii="方正书宋_GBK" w:eastAsia="方正书宋_GBK"/>
              </w:rPr>
              <w:t>56</w:t>
            </w:r>
            <w:r>
              <w:rPr>
                <w:rFonts w:ascii="方正书宋_GBK" w:eastAsia="方正书宋_GBK" w:hint="eastAsia"/>
              </w:rPr>
              <w:t>号</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规模以上企业增加比例</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规模以上企业增加情况</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持续增加</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促进企业转型升级率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促进此类型企业转型升级比率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0.28</w:t>
            </w:r>
            <w:r>
              <w:rPr>
                <w:rFonts w:ascii="方正书宋_GBK" w:eastAsia="方正书宋_GBK" w:hint="eastAsia"/>
              </w:rPr>
              <w:t>％</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《三河市人民政府关于进一步培育壮大规模以上工业企业、规模以上服务业企业、批零住餐限上企业的实施意见（试行）》三政【</w:t>
            </w:r>
            <w:r>
              <w:rPr>
                <w:rFonts w:ascii="方正书宋_GBK" w:eastAsia="方正书宋_GBK"/>
              </w:rPr>
              <w:t>2016</w:t>
            </w:r>
            <w:r>
              <w:rPr>
                <w:rFonts w:ascii="方正书宋_GBK" w:eastAsia="方正书宋_GBK" w:hint="eastAsia"/>
              </w:rPr>
              <w:t>】</w:t>
            </w:r>
            <w:r>
              <w:rPr>
                <w:rFonts w:ascii="方正书宋_GBK" w:eastAsia="方正书宋_GBK"/>
              </w:rPr>
              <w:t>56</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项目持续发挥作用</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项目持续发挥作用</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持续影响</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企业满意度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企业满意度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bl>
    <w:p w:rsidR="009E4078" w:rsidRDefault="009E4078">
      <w:pPr>
        <w:spacing w:line="300" w:lineRule="exact"/>
        <w:jc w:val="left"/>
      </w:pPr>
    </w:p>
    <w:p w:rsidR="009E4078" w:rsidRDefault="00F6072D" w:rsidP="009E4078">
      <w:pPr>
        <w:ind w:firstLineChars="200" w:firstLine="562"/>
        <w:jc w:val="left"/>
        <w:rPr>
          <w:rFonts w:ascii="Times New Roman" w:hAnsi="宋体"/>
          <w:b/>
          <w:sz w:val="28"/>
        </w:rPr>
      </w:pPr>
      <w:r>
        <w:rPr>
          <w:rFonts w:ascii="方正仿宋_GBK" w:eastAsia="方正仿宋_GBK" w:hint="eastAsia"/>
          <w:b/>
          <w:sz w:val="28"/>
        </w:rPr>
        <w:t>3、法律顾问咨询服务经费绩效目标表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通过按时支付法律顾问咨询费用，保障本单位在合同的起草等阶段更规范。</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通过按时支付法律顾问咨询费，保障行政执法无违法违规行为。</w:t>
            </w:r>
          </w:p>
          <w:p w:rsidR="009E4078" w:rsidRDefault="00F6072D">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通过聘请律师支付咨询服务费用，加强法律意识，确保依法行政。</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起草合同数量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起草合同数量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个</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聘请法律顾问数量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聘请法律顾问数量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位</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工作任务完成率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已完成工作占计划完成工作的比率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100%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法律咨询服务合同文本</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资金拨付时间</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支付咨询费时间</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法律咨询服务合同文本</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法律顾问人均成本</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法律顾问人均成本</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万元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法律咨询服务合同文本</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避免财产损失减少</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避免国有资产流失</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无流失</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提高执法检查合规效果</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提高执法检查合规效果</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有效提高</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法律咨询服务合同文本</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影响持续的时间</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影响持续的时间</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法律咨询服务合同文本</w:t>
            </w:r>
          </w:p>
        </w:tc>
      </w:tr>
      <w:tr w:rsidR="009E4078">
        <w:trPr>
          <w:cantSplit/>
          <w:trHeight w:val="397"/>
          <w:jc w:val="center"/>
        </w:trPr>
        <w:tc>
          <w:tcPr>
            <w:tcW w:w="1417" w:type="dxa"/>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提供法律咨询服务对象满意数量</w:t>
            </w:r>
            <w:r>
              <w:rPr>
                <w:rFonts w:ascii="方正书宋_GBK" w:eastAsia="方正书宋_GBK"/>
              </w:rPr>
              <w:t>/</w:t>
            </w:r>
            <w:r>
              <w:rPr>
                <w:rFonts w:ascii="方正书宋_GBK" w:eastAsia="方正书宋_GBK" w:hint="eastAsia"/>
              </w:rPr>
              <w:t>全部咨询服务人数</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bl>
    <w:p w:rsidR="009E4078" w:rsidRDefault="009E4078">
      <w:pPr>
        <w:spacing w:line="300" w:lineRule="exact"/>
        <w:jc w:val="left"/>
      </w:pPr>
    </w:p>
    <w:p w:rsidR="009E4078" w:rsidRDefault="00F6072D" w:rsidP="009E4078">
      <w:pPr>
        <w:ind w:firstLineChars="200" w:firstLine="562"/>
        <w:jc w:val="left"/>
        <w:rPr>
          <w:rFonts w:ascii="Times New Roman" w:hAnsi="宋体"/>
          <w:b/>
          <w:sz w:val="28"/>
        </w:rPr>
      </w:pPr>
      <w:r>
        <w:rPr>
          <w:rFonts w:ascii="方正仿宋_GBK" w:eastAsia="方正仿宋_GBK" w:hint="eastAsia"/>
          <w:b/>
          <w:sz w:val="28"/>
        </w:rPr>
        <w:t>4、新增办公自动化设备所需资金绩效目标表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通过采购项目的完成，提高工作效率，更好的履行部门职责。</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通过采购项目的完成，保证机关各项工作正常运转。</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购置数量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实际购置办公设备数量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35</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资金批示文件</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质量合格率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购置产品合格数量占全部产品比率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100%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行业标准</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购置时间</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购置工作完成时间</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月</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资金批示时间</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电脑每台成本</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电脑每台成本</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w:t>
            </w:r>
            <w:r>
              <w:rPr>
                <w:rFonts w:ascii="方正书宋_GBK" w:eastAsia="方正书宋_GBK" w:hint="eastAsia"/>
              </w:rPr>
              <w:t>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购置票据</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打印机每台成本</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打印机每台成本</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2500</w:t>
            </w:r>
            <w:r>
              <w:rPr>
                <w:rFonts w:ascii="方正书宋_GBK" w:eastAsia="方正书宋_GBK" w:hint="eastAsia"/>
              </w:rPr>
              <w:t>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购置票据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提高工作效率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提高工作效率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有效提高</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保障单位运转</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通过设备的采购，保证单位正常运转</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有效保障</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可持续性服务</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可持续性服务年限</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年</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行业标准</w:t>
            </w:r>
          </w:p>
        </w:tc>
      </w:tr>
      <w:tr w:rsidR="009E4078">
        <w:trPr>
          <w:cantSplit/>
          <w:trHeight w:val="397"/>
          <w:jc w:val="center"/>
        </w:trPr>
        <w:tc>
          <w:tcPr>
            <w:tcW w:w="1417" w:type="dxa"/>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用户满意度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使用人满意人数占全部调查对象人数</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bl>
    <w:p w:rsidR="009E4078" w:rsidRDefault="009E4078">
      <w:pPr>
        <w:spacing w:line="300" w:lineRule="exact"/>
        <w:jc w:val="left"/>
      </w:pPr>
    </w:p>
    <w:p w:rsidR="009E4078" w:rsidRDefault="00F6072D" w:rsidP="009E4078">
      <w:pPr>
        <w:ind w:firstLineChars="200" w:firstLine="562"/>
        <w:jc w:val="left"/>
        <w:rPr>
          <w:rFonts w:ascii="Times New Roman" w:hAnsi="宋体"/>
          <w:b/>
          <w:sz w:val="28"/>
        </w:rPr>
      </w:pPr>
      <w:r>
        <w:rPr>
          <w:rFonts w:ascii="方正仿宋_GBK" w:eastAsia="方正仿宋_GBK" w:hint="eastAsia"/>
          <w:b/>
          <w:sz w:val="28"/>
        </w:rPr>
        <w:t>5、外贸出口奖励专项资金绩效目标表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通过奖励资金的发放，保障优化外贸商品结构、市场结构、主体结构、贸易方式结构，促进对外贸易额稳定增长。</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通过奖励资金的发放，实现对外经济合作业务稳定增长。</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补助企业数量（家）</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补助企业数量（家）</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家</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《三河市外贸出口奖励办法》</w:t>
            </w:r>
            <w:r>
              <w:rPr>
                <w:rFonts w:ascii="方正书宋_GBK" w:eastAsia="方正书宋_GBK"/>
              </w:rPr>
              <w:t xml:space="preserve"> </w:t>
            </w:r>
            <w:r>
              <w:rPr>
                <w:rFonts w:ascii="方正书宋_GBK" w:eastAsia="方正书宋_GBK" w:hint="eastAsia"/>
              </w:rPr>
              <w:t>三政【</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申报企业发放覆盖率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发放企业占申报企业比率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《三河市外贸出口奖励办法》</w:t>
            </w:r>
            <w:r>
              <w:rPr>
                <w:rFonts w:ascii="方正书宋_GBK" w:eastAsia="方正书宋_GBK"/>
              </w:rPr>
              <w:t xml:space="preserve"> </w:t>
            </w:r>
            <w:r>
              <w:rPr>
                <w:rFonts w:ascii="方正书宋_GBK" w:eastAsia="方正书宋_GBK" w:hint="eastAsia"/>
              </w:rPr>
              <w:t>三政【</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发放奖励资金及时拨付</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发放奖励资金及时拨付</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及时拨付</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《三河市外贸出口奖励办法》</w:t>
            </w:r>
            <w:r>
              <w:rPr>
                <w:rFonts w:ascii="方正书宋_GBK" w:eastAsia="方正书宋_GBK"/>
              </w:rPr>
              <w:t xml:space="preserve"> </w:t>
            </w:r>
            <w:r>
              <w:rPr>
                <w:rFonts w:ascii="方正书宋_GBK" w:eastAsia="方正书宋_GBK" w:hint="eastAsia"/>
              </w:rPr>
              <w:t>三政【</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发放奖补资金数额</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对比去年出口额实现零的突破的企业</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万元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《三河市外贸出口奖励办法》</w:t>
            </w:r>
            <w:r>
              <w:rPr>
                <w:rFonts w:ascii="方正书宋_GBK" w:eastAsia="方正书宋_GBK"/>
              </w:rPr>
              <w:t xml:space="preserve"> </w:t>
            </w:r>
            <w:r>
              <w:rPr>
                <w:rFonts w:ascii="方正书宋_GBK" w:eastAsia="方正书宋_GBK" w:hint="eastAsia"/>
              </w:rPr>
              <w:t>三政【</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发放奖补资金数额</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rPr>
              <w:t>2019</w:t>
            </w:r>
            <w:r>
              <w:rPr>
                <w:rFonts w:ascii="方正书宋_GBK" w:eastAsia="方正书宋_GBK" w:hint="eastAsia"/>
              </w:rPr>
              <w:t>年出口额</w:t>
            </w:r>
            <w:r>
              <w:rPr>
                <w:rFonts w:ascii="方正书宋_GBK" w:eastAsia="方正书宋_GBK"/>
              </w:rPr>
              <w:t>150</w:t>
            </w:r>
            <w:r>
              <w:rPr>
                <w:rFonts w:ascii="方正书宋_GBK" w:eastAsia="方正书宋_GBK" w:hint="eastAsia"/>
              </w:rPr>
              <w:t>万美元以上企业并出口增长</w:t>
            </w:r>
            <w:r>
              <w:rPr>
                <w:rFonts w:ascii="方正书宋_GBK" w:eastAsia="方正书宋_GBK"/>
              </w:rPr>
              <w:t>10%</w:t>
            </w:r>
            <w:r>
              <w:rPr>
                <w:rFonts w:ascii="方正书宋_GBK" w:eastAsia="方正书宋_GBK" w:hint="eastAsia"/>
              </w:rPr>
              <w:t>以上的</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35</w:t>
            </w:r>
            <w:r>
              <w:rPr>
                <w:rFonts w:ascii="方正书宋_GBK" w:eastAsia="方正书宋_GBK" w:hint="eastAsia"/>
              </w:rPr>
              <w:t>万元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《三河市外贸出口奖励办法》</w:t>
            </w:r>
            <w:r>
              <w:rPr>
                <w:rFonts w:ascii="方正书宋_GBK" w:eastAsia="方正书宋_GBK"/>
              </w:rPr>
              <w:t xml:space="preserve"> </w:t>
            </w:r>
            <w:r>
              <w:rPr>
                <w:rFonts w:ascii="方正书宋_GBK" w:eastAsia="方正书宋_GBK" w:hint="eastAsia"/>
              </w:rPr>
              <w:t>三政【</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发放奖补资金数额</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rPr>
              <w:t>2019</w:t>
            </w:r>
            <w:r>
              <w:rPr>
                <w:rFonts w:ascii="方正书宋_GBK" w:eastAsia="方正书宋_GBK" w:hint="eastAsia"/>
              </w:rPr>
              <w:t>年出口额</w:t>
            </w:r>
            <w:r>
              <w:rPr>
                <w:rFonts w:ascii="方正书宋_GBK" w:eastAsia="方正书宋_GBK"/>
              </w:rPr>
              <w:t>300</w:t>
            </w:r>
            <w:r>
              <w:rPr>
                <w:rFonts w:ascii="方正书宋_GBK" w:eastAsia="方正书宋_GBK" w:hint="eastAsia"/>
              </w:rPr>
              <w:t>万美元及以上企业</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235</w:t>
            </w:r>
            <w:r>
              <w:rPr>
                <w:rFonts w:ascii="方正书宋_GBK" w:eastAsia="方正书宋_GBK" w:hint="eastAsia"/>
              </w:rPr>
              <w:t>万元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《三河市外贸出口奖励办法》</w:t>
            </w:r>
            <w:r>
              <w:rPr>
                <w:rFonts w:ascii="方正书宋_GBK" w:eastAsia="方正书宋_GBK"/>
              </w:rPr>
              <w:t xml:space="preserve"> </w:t>
            </w:r>
            <w:r>
              <w:rPr>
                <w:rFonts w:ascii="方正书宋_GBK" w:eastAsia="方正书宋_GBK" w:hint="eastAsia"/>
              </w:rPr>
              <w:t>三政【</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出口创汇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三河市企业出口额</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8000</w:t>
            </w:r>
            <w:r>
              <w:rPr>
                <w:rFonts w:ascii="方正书宋_GBK" w:eastAsia="方正书宋_GBK" w:hint="eastAsia"/>
              </w:rPr>
              <w:t>万美元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海关统计数字</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出口企业持续出口</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每年的出口企业数量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个</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海关统计数字</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带动新的出口企业</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新增备案出口企业数量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商务部统一业务平台</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持续带动我市出口企业发展情况</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持续带动我市出口企业发展情况</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持续带动</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拨付实效满意度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受益企业对拨付实效满意度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拨付手续满意度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受益企业对拨付手续满意度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受益对象满意度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受益对象满意度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bl>
    <w:p w:rsidR="009E4078" w:rsidRDefault="009E4078">
      <w:pPr>
        <w:spacing w:line="300" w:lineRule="exact"/>
        <w:jc w:val="left"/>
      </w:pPr>
    </w:p>
    <w:p w:rsidR="009E4078" w:rsidRDefault="009E4078" w:rsidP="009E4078">
      <w:pPr>
        <w:ind w:firstLineChars="200" w:firstLine="562"/>
        <w:jc w:val="left"/>
        <w:rPr>
          <w:rFonts w:ascii="方正仿宋_GBK" w:eastAsia="方正仿宋_GBK"/>
          <w:b/>
          <w:sz w:val="28"/>
        </w:rPr>
      </w:pPr>
    </w:p>
    <w:p w:rsidR="009E4078" w:rsidRDefault="00F6072D" w:rsidP="009E4078">
      <w:pPr>
        <w:ind w:firstLineChars="200" w:firstLine="562"/>
        <w:jc w:val="left"/>
        <w:rPr>
          <w:rFonts w:ascii="Times New Roman" w:hAnsi="宋体"/>
          <w:b/>
          <w:sz w:val="28"/>
        </w:rPr>
      </w:pPr>
      <w:r>
        <w:rPr>
          <w:rFonts w:ascii="方正仿宋_GBK" w:eastAsia="方正仿宋_GBK" w:hint="eastAsia"/>
          <w:b/>
          <w:sz w:val="28"/>
        </w:rPr>
        <w:t>6、三河市消费扶贫专馆所需资金绩效目标表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通过消费扶贫专馆建设，连接打通销售渠道，助力脱贫攻坚，巩固脱贫成果。</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通过项目开展，连接打通销售渠道，展销本地和外地优质扶贫产品，助力脱贫攻坚。</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消费扶贫专馆数量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新建消费扶贫专馆数量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三河市扶贫开发和脱贫工作领导小组关于调整全市消费扶贫</w:t>
            </w:r>
            <w:r>
              <w:rPr>
                <w:rFonts w:ascii="方正书宋_GBK" w:eastAsia="方正书宋_GBK" w:hint="cs"/>
                <w:cs/>
              </w:rPr>
              <w:t>“</w:t>
            </w:r>
            <w:r>
              <w:rPr>
                <w:rFonts w:ascii="方正书宋_GBK" w:eastAsia="方正书宋_GBK" w:hint="eastAsia"/>
              </w:rPr>
              <w:t>三专</w:t>
            </w:r>
            <w:r>
              <w:rPr>
                <w:rFonts w:ascii="方正书宋_GBK" w:eastAsia="方正书宋_GBK" w:hint="cs"/>
                <w:cs/>
              </w:rPr>
              <w:t>”</w:t>
            </w:r>
            <w:r>
              <w:rPr>
                <w:rFonts w:ascii="方正书宋_GBK" w:eastAsia="方正书宋_GBK" w:hint="eastAsia"/>
              </w:rPr>
              <w:t>建设任务的通知</w:t>
            </w:r>
            <w:r>
              <w:rPr>
                <w:rFonts w:ascii="方正书宋_GBK" w:eastAsia="方正书宋_GBK"/>
              </w:rPr>
              <w:t xml:space="preserve">        </w:t>
            </w:r>
            <w:r>
              <w:rPr>
                <w:rFonts w:ascii="方正书宋_GBK" w:eastAsia="方正书宋_GBK" w:hint="eastAsia"/>
              </w:rPr>
              <w:t>三扶贫脱贫【</w:t>
            </w:r>
            <w:r>
              <w:rPr>
                <w:rFonts w:ascii="方正书宋_GBK" w:eastAsia="方正书宋_GBK"/>
              </w:rPr>
              <w:t>2020</w:t>
            </w:r>
            <w:r>
              <w:rPr>
                <w:rFonts w:ascii="方正书宋_GBK" w:eastAsia="方正书宋_GBK" w:hint="eastAsia"/>
              </w:rPr>
              <w:t>】</w:t>
            </w:r>
            <w:r>
              <w:rPr>
                <w:rFonts w:ascii="方正书宋_GBK" w:eastAsia="方正书宋_GBK"/>
              </w:rPr>
              <w:t>21</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消费扶贫专馆面积数</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新建消费扶贫专馆面积数量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280</w:t>
            </w:r>
            <w:r>
              <w:rPr>
                <w:rFonts w:ascii="方正书宋_GBK" w:eastAsia="方正书宋_GBK" w:hint="eastAsia"/>
              </w:rPr>
              <w:t>㎡</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租赁协议</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项目建设完成率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项目建设完成情况比率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100%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三河市扶贫开发和脱贫工作领导小组关于调整全市消费扶贫</w:t>
            </w:r>
            <w:r>
              <w:rPr>
                <w:rFonts w:ascii="方正书宋_GBK" w:eastAsia="方正书宋_GBK" w:hint="cs"/>
                <w:cs/>
              </w:rPr>
              <w:t>“</w:t>
            </w:r>
            <w:r>
              <w:rPr>
                <w:rFonts w:ascii="方正书宋_GBK" w:eastAsia="方正书宋_GBK" w:hint="eastAsia"/>
              </w:rPr>
              <w:t>三专</w:t>
            </w:r>
            <w:r>
              <w:rPr>
                <w:rFonts w:ascii="方正书宋_GBK" w:eastAsia="方正书宋_GBK" w:hint="cs"/>
                <w:cs/>
              </w:rPr>
              <w:t>”</w:t>
            </w:r>
            <w:r>
              <w:rPr>
                <w:rFonts w:ascii="方正书宋_GBK" w:eastAsia="方正书宋_GBK" w:hint="eastAsia"/>
              </w:rPr>
              <w:t>建设任务的通知</w:t>
            </w:r>
            <w:r>
              <w:rPr>
                <w:rFonts w:ascii="方正书宋_GBK" w:eastAsia="方正书宋_GBK"/>
              </w:rPr>
              <w:t xml:space="preserve">        </w:t>
            </w:r>
            <w:r>
              <w:rPr>
                <w:rFonts w:ascii="方正书宋_GBK" w:eastAsia="方正书宋_GBK" w:hint="eastAsia"/>
              </w:rPr>
              <w:t>三扶贫脱贫【</w:t>
            </w:r>
            <w:r>
              <w:rPr>
                <w:rFonts w:ascii="方正书宋_GBK" w:eastAsia="方正书宋_GBK"/>
              </w:rPr>
              <w:t>2020</w:t>
            </w:r>
            <w:r>
              <w:rPr>
                <w:rFonts w:ascii="方正书宋_GBK" w:eastAsia="方正书宋_GBK" w:hint="eastAsia"/>
              </w:rPr>
              <w:t>】</w:t>
            </w:r>
            <w:r>
              <w:rPr>
                <w:rFonts w:ascii="方正书宋_GBK" w:eastAsia="方正书宋_GBK"/>
              </w:rPr>
              <w:t>21</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项目完成时限</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是否按时完成项目建设</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月</w:t>
            </w:r>
            <w:r>
              <w:rPr>
                <w:rFonts w:ascii="方正书宋_GBK" w:eastAsia="方正书宋_GBK"/>
              </w:rPr>
              <w:t xml:space="preserve"> </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三河市扶贫开发和脱贫工作领导小组关于调整全市消费扶贫</w:t>
            </w:r>
            <w:r>
              <w:rPr>
                <w:rFonts w:ascii="方正书宋_GBK" w:eastAsia="方正书宋_GBK" w:hint="cs"/>
                <w:cs/>
              </w:rPr>
              <w:t>“</w:t>
            </w:r>
            <w:r>
              <w:rPr>
                <w:rFonts w:ascii="方正书宋_GBK" w:eastAsia="方正书宋_GBK" w:hint="eastAsia"/>
              </w:rPr>
              <w:t>三专</w:t>
            </w:r>
            <w:r>
              <w:rPr>
                <w:rFonts w:ascii="方正书宋_GBK" w:eastAsia="方正书宋_GBK" w:hint="cs"/>
                <w:cs/>
              </w:rPr>
              <w:t>”</w:t>
            </w:r>
            <w:r>
              <w:rPr>
                <w:rFonts w:ascii="方正书宋_GBK" w:eastAsia="方正书宋_GBK" w:hint="eastAsia"/>
              </w:rPr>
              <w:t>建设任务的通知</w:t>
            </w:r>
            <w:r>
              <w:rPr>
                <w:rFonts w:ascii="方正书宋_GBK" w:eastAsia="方正书宋_GBK"/>
              </w:rPr>
              <w:t xml:space="preserve">  </w:t>
            </w:r>
            <w:r>
              <w:rPr>
                <w:rFonts w:ascii="方正书宋_GBK" w:eastAsia="方正书宋_GBK" w:hint="eastAsia"/>
              </w:rPr>
              <w:t>三扶贫脱贫【</w:t>
            </w:r>
            <w:r>
              <w:rPr>
                <w:rFonts w:ascii="方正书宋_GBK" w:eastAsia="方正书宋_GBK"/>
              </w:rPr>
              <w:t>2020</w:t>
            </w:r>
            <w:r>
              <w:rPr>
                <w:rFonts w:ascii="方正书宋_GBK" w:eastAsia="方正书宋_GBK" w:hint="eastAsia"/>
              </w:rPr>
              <w:t>】</w:t>
            </w:r>
            <w:r>
              <w:rPr>
                <w:rFonts w:ascii="方正书宋_GBK" w:eastAsia="方正书宋_GBK"/>
              </w:rPr>
              <w:t>21</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消费扶贫专馆租赁费用</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消费扶贫专馆租赁费用</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29.4</w:t>
            </w:r>
            <w:r>
              <w:rPr>
                <w:rFonts w:ascii="方正书宋_GBK" w:eastAsia="方正书宋_GBK" w:hint="eastAsia"/>
              </w:rPr>
              <w:t>万元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租赁协议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帮助贫困人口增收脱贫</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帮助贫困人口增收情况</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月收入增加</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增加贫困地区产品销售额</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增加贫困地区产品销售额</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销售额增加</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巩固脱贫成果</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巩固脱贫攻坚成果情况</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持续巩固</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承租单位满意度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出租单位满意度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企业满意度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扶贫产品销售企业满意度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群众满意度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群众满意度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bl>
    <w:p w:rsidR="009E4078" w:rsidRDefault="009E4078">
      <w:pPr>
        <w:spacing w:line="300" w:lineRule="exact"/>
        <w:jc w:val="left"/>
      </w:pPr>
    </w:p>
    <w:p w:rsidR="009E4078" w:rsidRDefault="00F6072D" w:rsidP="009E4078">
      <w:pPr>
        <w:ind w:firstLineChars="200" w:firstLine="562"/>
        <w:jc w:val="left"/>
        <w:rPr>
          <w:rFonts w:ascii="Times New Roman" w:hAnsi="宋体"/>
          <w:b/>
          <w:sz w:val="28"/>
        </w:rPr>
      </w:pPr>
      <w:r>
        <w:rPr>
          <w:rFonts w:ascii="方正仿宋_GBK" w:eastAsia="方正仿宋_GBK" w:hint="eastAsia"/>
          <w:b/>
          <w:sz w:val="28"/>
        </w:rPr>
        <w:t>7、招商引资活动经费绩效目标表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通过组织企业走出去参加各类展会及投资洽谈活动，保障全市招商引资工作取得明显成效，为我市经济发展奠定良好基础。</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通过参加</w:t>
            </w:r>
            <w:r>
              <w:rPr>
                <w:rFonts w:ascii="方正书宋_GBK" w:eastAsia="方正书宋_GBK"/>
              </w:rPr>
              <w:t>5.18</w:t>
            </w:r>
            <w:r>
              <w:rPr>
                <w:rFonts w:ascii="方正书宋_GBK" w:eastAsia="方正书宋_GBK" w:hint="eastAsia"/>
              </w:rPr>
              <w:t>经洽会、</w:t>
            </w:r>
            <w:r>
              <w:rPr>
                <w:rFonts w:ascii="方正书宋_GBK" w:eastAsia="方正书宋_GBK"/>
              </w:rPr>
              <w:t>9.8</w:t>
            </w:r>
            <w:r>
              <w:rPr>
                <w:rFonts w:ascii="方正书宋_GBK" w:eastAsia="方正书宋_GBK" w:hint="eastAsia"/>
              </w:rPr>
              <w:t>厦门投洽会、进口博览会等各类展会，和客商对接洽谈等活动，实现宣传推介三河的良好效果。</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招商活动数量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组织企业参加活动数量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次</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招商活动成功率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各项招商活动成功率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100%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及时开展各项活动</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按照计划及时开展各项活动</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成本控制率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完成各项工作目标实际支出与预算资金比率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100%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招商活动的签约项目金额（亿元）</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招商活动的签约项目金额（亿元）</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亿元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经贸活动知名度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经贸活动知名度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不断提高</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增强影响力</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增强影响力</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不断增强</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客商满意度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参会客商对我市投资环境及活动效果满意度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电话或问卷调查</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参展企业满意度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参加境内外展会企业的满意度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电话或问卷调查</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培训人员满意度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参加各类培训人员满意度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电话或问卷调查</w:t>
            </w:r>
          </w:p>
        </w:tc>
      </w:tr>
    </w:tbl>
    <w:p w:rsidR="009E4078" w:rsidRDefault="009E4078">
      <w:pPr>
        <w:spacing w:line="300" w:lineRule="exact"/>
        <w:jc w:val="left"/>
      </w:pPr>
    </w:p>
    <w:p w:rsidR="009E4078" w:rsidRDefault="00F6072D" w:rsidP="009E4078">
      <w:pPr>
        <w:ind w:firstLineChars="200" w:firstLine="562"/>
        <w:jc w:val="left"/>
        <w:rPr>
          <w:rFonts w:ascii="Times New Roman" w:hAnsi="宋体"/>
          <w:b/>
          <w:sz w:val="28"/>
        </w:rPr>
      </w:pPr>
      <w:r>
        <w:rPr>
          <w:rFonts w:ascii="方正仿宋_GBK" w:eastAsia="方正仿宋_GBK" w:hint="eastAsia"/>
          <w:b/>
          <w:sz w:val="28"/>
        </w:rPr>
        <w:t>8、2021年三河市出口信用保险补贴资金绩效目标表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通过补贴资金的发放，保障优化外贸商品结构、市场结构、主体结构、贸易方式结构，促进对外贸易额稳定增长。</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通过对符合条件的企业发放补贴资金，切实落实对企业帮扶措施，实现对外经济合作业务稳定增长。</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补助企业数量（家）</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符合政策给予补贴企业个数</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家</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2021</w:t>
            </w:r>
            <w:r>
              <w:rPr>
                <w:rFonts w:ascii="方正书宋_GBK" w:eastAsia="方正书宋_GBK" w:hint="eastAsia"/>
              </w:rPr>
              <w:t>年三河市出口信用保险补贴办法》</w:t>
            </w:r>
            <w:r>
              <w:rPr>
                <w:rFonts w:ascii="方正书宋_GBK" w:eastAsia="方正书宋_GBK"/>
              </w:rPr>
              <w:t xml:space="preserve"> </w:t>
            </w:r>
            <w:r>
              <w:rPr>
                <w:rFonts w:ascii="方正书宋_GBK" w:eastAsia="方正书宋_GBK" w:hint="eastAsia"/>
              </w:rPr>
              <w:t>（督查室</w:t>
            </w:r>
            <w:r>
              <w:rPr>
                <w:rFonts w:ascii="方正书宋_GBK" w:eastAsia="方正书宋_GBK"/>
              </w:rPr>
              <w:t>2166</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补贴覆盖率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已补企业占申报企业比率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2021</w:t>
            </w:r>
            <w:r>
              <w:rPr>
                <w:rFonts w:ascii="方正书宋_GBK" w:eastAsia="方正书宋_GBK" w:hint="eastAsia"/>
              </w:rPr>
              <w:t>年三河市出口信用保险补贴办法》</w:t>
            </w:r>
            <w:r>
              <w:rPr>
                <w:rFonts w:ascii="方正书宋_GBK" w:eastAsia="方正书宋_GBK"/>
              </w:rPr>
              <w:t xml:space="preserve"> </w:t>
            </w:r>
            <w:r>
              <w:rPr>
                <w:rFonts w:ascii="方正书宋_GBK" w:eastAsia="方正书宋_GBK" w:hint="eastAsia"/>
              </w:rPr>
              <w:t>（督查室</w:t>
            </w:r>
            <w:r>
              <w:rPr>
                <w:rFonts w:ascii="方正书宋_GBK" w:eastAsia="方正书宋_GBK"/>
              </w:rPr>
              <w:t>2166</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发放奖励资金时间</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发放奖励资金时间</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2021</w:t>
            </w:r>
            <w:r>
              <w:rPr>
                <w:rFonts w:ascii="方正书宋_GBK" w:eastAsia="方正书宋_GBK" w:hint="eastAsia"/>
              </w:rPr>
              <w:t>年三河市出口信用保险补贴办法》</w:t>
            </w:r>
            <w:r>
              <w:rPr>
                <w:rFonts w:ascii="方正书宋_GBK" w:eastAsia="方正书宋_GBK"/>
              </w:rPr>
              <w:t xml:space="preserve"> </w:t>
            </w:r>
            <w:r>
              <w:rPr>
                <w:rFonts w:ascii="方正书宋_GBK" w:eastAsia="方正书宋_GBK" w:hint="eastAsia"/>
              </w:rPr>
              <w:t>（督查室</w:t>
            </w:r>
            <w:r>
              <w:rPr>
                <w:rFonts w:ascii="方正书宋_GBK" w:eastAsia="方正书宋_GBK"/>
              </w:rPr>
              <w:t>2166</w:t>
            </w:r>
            <w:r>
              <w:rPr>
                <w:rFonts w:ascii="方正书宋_GBK" w:eastAsia="方正书宋_GBK" w:hint="eastAsia"/>
              </w:rPr>
              <w:t>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出口信用保险补贴平均成本</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出口信用保险补贴平均成本</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万元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2021</w:t>
            </w:r>
            <w:r>
              <w:rPr>
                <w:rFonts w:ascii="方正书宋_GBK" w:eastAsia="方正书宋_GBK" w:hint="eastAsia"/>
              </w:rPr>
              <w:t>年三河市出口信用保险补贴办法》</w:t>
            </w:r>
            <w:r>
              <w:rPr>
                <w:rFonts w:ascii="方正书宋_GBK" w:eastAsia="方正书宋_GBK"/>
              </w:rPr>
              <w:t xml:space="preserve"> </w:t>
            </w:r>
            <w:r>
              <w:rPr>
                <w:rFonts w:ascii="方正书宋_GBK" w:eastAsia="方正书宋_GBK" w:hint="eastAsia"/>
              </w:rPr>
              <w:t>（督查室</w:t>
            </w:r>
            <w:r>
              <w:rPr>
                <w:rFonts w:ascii="方正书宋_GBK" w:eastAsia="方正书宋_GBK"/>
              </w:rPr>
              <w:t>2166</w:t>
            </w:r>
            <w:r>
              <w:rPr>
                <w:rFonts w:ascii="方正书宋_GBK" w:eastAsia="方正书宋_GBK" w:hint="eastAsia"/>
              </w:rPr>
              <w:t>号）</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出口创汇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三河市企业出口额</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8000</w:t>
            </w:r>
            <w:r>
              <w:rPr>
                <w:rFonts w:ascii="方正书宋_GBK" w:eastAsia="方正书宋_GBK" w:hint="eastAsia"/>
              </w:rPr>
              <w:t>万美元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海关统计</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带动新的出口企业</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新增备案出口企业数量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商务部统一业务平台</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出口企业持续出口</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每年的出口企业数量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个</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海关统计数字</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市场竞争力增加情况</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市场竞争力增加情况</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持续增加</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拨付实效满意度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受益企业对拨付实效满意度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拨付手续满意度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受益企业对拨付手续满意度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受益对象满意度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受益对象满意度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bl>
    <w:p w:rsidR="009E4078" w:rsidRDefault="009E4078">
      <w:pPr>
        <w:spacing w:line="300" w:lineRule="exact"/>
        <w:jc w:val="left"/>
      </w:pPr>
    </w:p>
    <w:p w:rsidR="009E4078" w:rsidRDefault="009E4078" w:rsidP="009E4078">
      <w:pPr>
        <w:ind w:firstLineChars="200" w:firstLine="562"/>
        <w:jc w:val="left"/>
        <w:rPr>
          <w:rFonts w:ascii="方正仿宋_GBK" w:eastAsia="方正仿宋_GBK"/>
          <w:b/>
          <w:sz w:val="28"/>
        </w:rPr>
      </w:pPr>
    </w:p>
    <w:p w:rsidR="009E4078" w:rsidRDefault="00F6072D" w:rsidP="009E4078">
      <w:pPr>
        <w:ind w:firstLineChars="200" w:firstLine="562"/>
        <w:jc w:val="left"/>
        <w:rPr>
          <w:rFonts w:ascii="Times New Roman" w:hAnsi="宋体"/>
          <w:b/>
          <w:sz w:val="28"/>
        </w:rPr>
      </w:pPr>
      <w:r>
        <w:rPr>
          <w:rFonts w:ascii="方正仿宋_GBK" w:eastAsia="方正仿宋_GBK" w:hint="eastAsia"/>
          <w:b/>
          <w:sz w:val="28"/>
        </w:rPr>
        <w:t>9、安全生产活动经费绩效目标表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通过对商贸流通领域企业进行安全生产督导检查，督促其安全生产工作进一步完善，最大限度消除安全隐患。</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通过开展对重点商贸流通企业的安全生产宣传、培训等工作，提升企业安全管理能力。</w:t>
            </w:r>
          </w:p>
          <w:p w:rsidR="009E4078" w:rsidRDefault="00F6072D">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通过参与我市及上级主管部门组织的安全生产活动，加强对商贸流通企业的监管，提升安全生产监管水平。</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检查企业次数</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组织安全检查活动次数</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次</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三政【</w:t>
            </w:r>
            <w:r>
              <w:rPr>
                <w:rFonts w:ascii="方正书宋_GBK" w:eastAsia="方正书宋_GBK"/>
              </w:rPr>
              <w:t>2018</w:t>
            </w:r>
            <w:r>
              <w:rPr>
                <w:rFonts w:ascii="方正书宋_GBK" w:eastAsia="方正书宋_GBK" w:hint="eastAsia"/>
              </w:rPr>
              <w:t>】</w:t>
            </w:r>
            <w:r>
              <w:rPr>
                <w:rFonts w:ascii="方正书宋_GBK" w:eastAsia="方正书宋_GBK"/>
              </w:rPr>
              <w:t>103</w:t>
            </w:r>
            <w:r>
              <w:rPr>
                <w:rFonts w:ascii="方正书宋_GBK" w:eastAsia="方正书宋_GBK" w:hint="eastAsia"/>
              </w:rPr>
              <w:t>号</w:t>
            </w:r>
            <w:r>
              <w:rPr>
                <w:rFonts w:ascii="方正书宋_GBK" w:eastAsia="方正书宋_GBK"/>
              </w:rPr>
              <w:t xml:space="preserve"> </w:t>
            </w:r>
            <w:r>
              <w:rPr>
                <w:rFonts w:ascii="方正书宋_GBK" w:eastAsia="方正书宋_GBK" w:hint="eastAsia"/>
              </w:rPr>
              <w:t>《三河市安全生产监管责任清单》</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安全生产培训次数</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安全生产培训次数</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三政【</w:t>
            </w:r>
            <w:r>
              <w:rPr>
                <w:rFonts w:ascii="方正书宋_GBK" w:eastAsia="方正书宋_GBK"/>
              </w:rPr>
              <w:t>2018</w:t>
            </w:r>
            <w:r>
              <w:rPr>
                <w:rFonts w:ascii="方正书宋_GBK" w:eastAsia="方正书宋_GBK" w:hint="eastAsia"/>
              </w:rPr>
              <w:t>】</w:t>
            </w:r>
            <w:r>
              <w:rPr>
                <w:rFonts w:ascii="方正书宋_GBK" w:eastAsia="方正书宋_GBK"/>
              </w:rPr>
              <w:t>104</w:t>
            </w:r>
            <w:r>
              <w:rPr>
                <w:rFonts w:ascii="方正书宋_GBK" w:eastAsia="方正书宋_GBK" w:hint="eastAsia"/>
              </w:rPr>
              <w:t>号</w:t>
            </w:r>
            <w:r>
              <w:rPr>
                <w:rFonts w:ascii="方正书宋_GBK" w:eastAsia="方正书宋_GBK"/>
              </w:rPr>
              <w:t xml:space="preserve"> </w:t>
            </w:r>
            <w:r>
              <w:rPr>
                <w:rFonts w:ascii="方正书宋_GBK" w:eastAsia="方正书宋_GBK" w:hint="eastAsia"/>
              </w:rPr>
              <w:t>《三河市安全生产监管责任清单》</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安全手册发放量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发放安全手册数量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w:t>
            </w:r>
            <w:r>
              <w:rPr>
                <w:rFonts w:ascii="方正书宋_GBK" w:eastAsia="方正书宋_GBK" w:hint="eastAsia"/>
              </w:rPr>
              <w:t>份</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三政【</w:t>
            </w:r>
            <w:r>
              <w:rPr>
                <w:rFonts w:ascii="方正书宋_GBK" w:eastAsia="方正书宋_GBK"/>
              </w:rPr>
              <w:t>2018</w:t>
            </w:r>
            <w:r>
              <w:rPr>
                <w:rFonts w:ascii="方正书宋_GBK" w:eastAsia="方正书宋_GBK" w:hint="eastAsia"/>
              </w:rPr>
              <w:t>】</w:t>
            </w:r>
            <w:r>
              <w:rPr>
                <w:rFonts w:ascii="方正书宋_GBK" w:eastAsia="方正书宋_GBK"/>
              </w:rPr>
              <w:t>103</w:t>
            </w:r>
            <w:r>
              <w:rPr>
                <w:rFonts w:ascii="方正书宋_GBK" w:eastAsia="方正书宋_GBK" w:hint="eastAsia"/>
              </w:rPr>
              <w:t>号</w:t>
            </w:r>
            <w:r>
              <w:rPr>
                <w:rFonts w:ascii="方正书宋_GBK" w:eastAsia="方正书宋_GBK"/>
              </w:rPr>
              <w:t xml:space="preserve"> </w:t>
            </w:r>
            <w:r>
              <w:rPr>
                <w:rFonts w:ascii="方正书宋_GBK" w:eastAsia="方正书宋_GBK" w:hint="eastAsia"/>
              </w:rPr>
              <w:t>《三河市安全生产监管责任清单》</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工作完成率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工作完成情况比率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100%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项目完成时间</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12</w:t>
            </w:r>
            <w:r>
              <w:rPr>
                <w:rFonts w:ascii="方正书宋_GBK" w:eastAsia="方正书宋_GBK" w:hint="eastAsia"/>
              </w:rPr>
              <w:t>月完成项目</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项目费用</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总成本控制</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万元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安全生产工作开展覆盖率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已开展安全生产工作的本系统单位占本系统所有单位的比率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安全事故有效处理</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安全事故第一时间有效处理</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处理及时有效</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工作报告</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重大安全生产事故发生起数</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通过项目实施重大安全生产事故发生情况</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起</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业务保障能力提升情况</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业务保障能力提升情况</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不断提升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群众满意度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群众对安全工作满意程度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监管企业满意程度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bl>
    <w:p w:rsidR="009E4078" w:rsidRDefault="009E4078">
      <w:pPr>
        <w:spacing w:line="300" w:lineRule="exact"/>
        <w:jc w:val="left"/>
      </w:pPr>
    </w:p>
    <w:p w:rsidR="009E4078" w:rsidRDefault="00F6072D" w:rsidP="009E4078">
      <w:pPr>
        <w:ind w:firstLineChars="200" w:firstLine="562"/>
        <w:jc w:val="left"/>
        <w:rPr>
          <w:rFonts w:ascii="Times New Roman" w:hAnsi="宋体"/>
          <w:b/>
          <w:sz w:val="28"/>
        </w:rPr>
      </w:pPr>
      <w:r>
        <w:rPr>
          <w:rFonts w:ascii="方正仿宋_GBK" w:eastAsia="方正仿宋_GBK" w:hint="eastAsia"/>
          <w:b/>
          <w:sz w:val="28"/>
        </w:rPr>
        <w:t>10、综合业务经费绩效目标表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9E4078">
        <w:trPr>
          <w:trHeight w:val="397"/>
          <w:jc w:val="center"/>
        </w:trPr>
        <w:tc>
          <w:tcPr>
            <w:tcW w:w="1417" w:type="dxa"/>
            <w:tcBorders>
              <w:top w:val="single" w:sz="6" w:space="0" w:color="000000"/>
              <w:bottom w:val="nil"/>
            </w:tcBorders>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rsidR="009E4078" w:rsidRDefault="00F6072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通过集中整治成品油市场，加大对成品油市场的整治力度，促进成品油市场健康有序发展。</w:t>
            </w:r>
          </w:p>
          <w:p w:rsidR="009E4078" w:rsidRDefault="00F6072D">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通过协调组织相关主管部门对成品油零售经营企业的监督检查，依法打击各类违法经营行为，净化成品油市场秩序。</w:t>
            </w:r>
          </w:p>
        </w:tc>
      </w:tr>
    </w:tbl>
    <w:p w:rsidR="009E4078" w:rsidRDefault="00F6072D">
      <w:pPr>
        <w:spacing w:line="14" w:lineRule="exact"/>
        <w:jc w:val="center"/>
        <w:rPr>
          <w:rFonts w:ascii="Times New Roman" w:hAnsi="宋体"/>
          <w:sz w:val="18"/>
        </w:rPr>
      </w:pPr>
      <w:r>
        <w:rPr>
          <w:rFonts w:ascii="方正书宋_GBK" w:eastAsia="方正书宋_GBK" w:hint="eastAsia"/>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4078">
        <w:trPr>
          <w:cantSplit/>
          <w:trHeight w:val="397"/>
          <w:tblHeader/>
          <w:jc w:val="center"/>
        </w:trPr>
        <w:tc>
          <w:tcPr>
            <w:tcW w:w="1417"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指标值确定依据</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检查企业数量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检查企业数量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65</w:t>
            </w:r>
            <w:r>
              <w:rPr>
                <w:rFonts w:ascii="方正书宋_GBK" w:eastAsia="方正书宋_GBK" w:hint="eastAsia"/>
              </w:rPr>
              <w:t>家</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监督次数</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开展监督检查次数</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次</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工作完成率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各项工作完成比率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rPr>
              <w:t>100%</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工作完成及时性</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工作完成及时性</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及时完成</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日常办公成本</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日常办公成本</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万元</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政府督查室</w:t>
            </w:r>
            <w:r>
              <w:rPr>
                <w:rFonts w:ascii="方正书宋_GBK" w:eastAsia="方正书宋_GBK"/>
              </w:rPr>
              <w:t>2935</w:t>
            </w:r>
            <w:r>
              <w:rPr>
                <w:rFonts w:ascii="方正书宋_GBK" w:eastAsia="方正书宋_GBK" w:hint="eastAsia"/>
              </w:rPr>
              <w:t>号</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提高工作效率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提高工作效率</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不断提高</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维护成品油市场经济秩序</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维护成品油市场秩序</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有效维护</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生态效益指标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减少大气污染</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减少污染物排放</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减少污染物排放</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可持续影响指标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促进成品油市场健康发展</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促进成品油市场健康发展</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有效促进</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工作计划</w:t>
            </w:r>
          </w:p>
        </w:tc>
      </w:tr>
      <w:tr w:rsidR="009E4078">
        <w:trPr>
          <w:cantSplit/>
          <w:trHeight w:val="397"/>
          <w:jc w:val="center"/>
        </w:trPr>
        <w:tc>
          <w:tcPr>
            <w:tcW w:w="1417" w:type="dxa"/>
            <w:vMerge w:val="restart"/>
            <w:vAlign w:val="center"/>
          </w:tcPr>
          <w:p w:rsidR="009E4078" w:rsidRDefault="00F6072D">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主管部门满意度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主管部门满意度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群众满意度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群众满意度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r w:rsidR="009E4078">
        <w:trPr>
          <w:cantSplit/>
          <w:trHeight w:val="397"/>
          <w:jc w:val="center"/>
        </w:trPr>
        <w:tc>
          <w:tcPr>
            <w:tcW w:w="1417" w:type="dxa"/>
            <w:vMerge/>
            <w:vAlign w:val="center"/>
          </w:tcPr>
          <w:p w:rsidR="009E4078" w:rsidRDefault="009E4078">
            <w:pPr>
              <w:spacing w:line="300" w:lineRule="exact"/>
              <w:jc w:val="center"/>
              <w:rPr>
                <w:rFonts w:ascii="方正书宋_GBK" w:eastAsia="方正书宋_GBK"/>
              </w:rPr>
            </w:pP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企业满意度</w:t>
            </w:r>
          </w:p>
        </w:tc>
        <w:tc>
          <w:tcPr>
            <w:tcW w:w="2835"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企业满意度</w:t>
            </w:r>
          </w:p>
        </w:tc>
        <w:tc>
          <w:tcPr>
            <w:tcW w:w="2551"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9E4078" w:rsidRDefault="00F6072D">
            <w:pPr>
              <w:spacing w:line="300" w:lineRule="exact"/>
              <w:jc w:val="left"/>
              <w:rPr>
                <w:rFonts w:ascii="方正书宋_GBK" w:eastAsia="方正书宋_GBK"/>
              </w:rPr>
            </w:pPr>
            <w:r>
              <w:rPr>
                <w:rFonts w:ascii="方正书宋_GBK" w:eastAsia="方正书宋_GBK" w:hint="eastAsia"/>
              </w:rPr>
              <w:t>调查问卷</w:t>
            </w:r>
          </w:p>
        </w:tc>
      </w:tr>
    </w:tbl>
    <w:p w:rsidR="009E4078" w:rsidRDefault="009E4078">
      <w:pPr>
        <w:autoSpaceDE w:val="0"/>
        <w:autoSpaceDN w:val="0"/>
        <w:adjustRightInd w:val="0"/>
        <w:spacing w:line="584" w:lineRule="exact"/>
        <w:ind w:firstLineChars="200" w:firstLine="880"/>
        <w:jc w:val="left"/>
        <w:rPr>
          <w:rFonts w:ascii="Times New Roman" w:eastAsia="黑体" w:hAnsi="Times New Roman" w:cs="Times New Roman"/>
          <w:sz w:val="44"/>
          <w:szCs w:val="44"/>
        </w:rPr>
      </w:pPr>
    </w:p>
    <w:p w:rsidR="009E4078" w:rsidRDefault="00F6072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9E4078" w:rsidRDefault="00F6072D">
      <w:pPr>
        <w:spacing w:line="584" w:lineRule="exact"/>
        <w:ind w:firstLineChars="200" w:firstLine="640"/>
        <w:outlineLvl w:val="0"/>
        <w:rPr>
          <w:rFonts w:ascii="Times New Roman" w:eastAsia="仿宋_GB2312" w:hAnsi="Times New Roman" w:cs="Times New Roman"/>
          <w:sz w:val="32"/>
          <w:szCs w:val="24"/>
        </w:rPr>
      </w:pPr>
      <w:bookmarkStart w:id="0"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733605" w:rsidRDefault="00733605">
      <w:pPr>
        <w:jc w:val="center"/>
        <w:rPr>
          <w:rFonts w:ascii="方正小标宋_GBK" w:eastAsia="方正小标宋_GBK" w:hint="eastAsia"/>
          <w:sz w:val="36"/>
        </w:rPr>
      </w:pPr>
    </w:p>
    <w:p w:rsidR="009E4078" w:rsidRDefault="00F6072D">
      <w:pPr>
        <w:jc w:val="center"/>
        <w:rPr>
          <w:rFonts w:ascii="Times New Roman" w:hAnsi="宋体"/>
          <w:sz w:val="36"/>
        </w:rPr>
      </w:pPr>
      <w:r>
        <w:rPr>
          <w:rFonts w:ascii="方正小标宋_GBK" w:eastAsia="方正小标宋_GBK" w:hint="eastAsia"/>
          <w:sz w:val="36"/>
        </w:rPr>
        <w:t>部门政府采购预算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9E4078">
        <w:trPr>
          <w:cantSplit/>
          <w:trHeight w:val="369"/>
          <w:tblHeader/>
          <w:jc w:val="center"/>
        </w:trPr>
        <w:tc>
          <w:tcPr>
            <w:tcW w:w="8703" w:type="dxa"/>
            <w:gridSpan w:val="7"/>
            <w:tcBorders>
              <w:top w:val="single" w:sz="6" w:space="0" w:color="FFFFFF"/>
              <w:left w:val="single" w:sz="6" w:space="0" w:color="FFFFFF"/>
              <w:right w:val="single" w:sz="6" w:space="0" w:color="FFFFFF"/>
            </w:tcBorders>
            <w:vAlign w:val="center"/>
          </w:tcPr>
          <w:p w:rsidR="009E4078" w:rsidRDefault="00733605">
            <w:pPr>
              <w:spacing w:line="300" w:lineRule="exact"/>
              <w:jc w:val="left"/>
              <w:rPr>
                <w:rFonts w:ascii="方正小标宋_GBK" w:eastAsia="方正小标宋_GBK"/>
                <w:sz w:val="24"/>
              </w:rPr>
            </w:pPr>
            <w:r>
              <w:rPr>
                <w:rFonts w:ascii="方正小标宋_GBK" w:eastAsia="方正小标宋_GBK" w:hint="eastAsia"/>
                <w:sz w:val="24"/>
              </w:rPr>
              <w:t>部门编码-</w:t>
            </w:r>
            <w:r w:rsidR="00F6072D">
              <w:rPr>
                <w:rFonts w:ascii="方正小标宋_GBK" w:eastAsia="方正小标宋_GBK"/>
                <w:sz w:val="24"/>
              </w:rPr>
              <w:t>322</w:t>
            </w:r>
            <w:r w:rsidR="00F6072D">
              <w:rPr>
                <w:rFonts w:ascii="方正小标宋_GBK" w:eastAsia="方正小标宋_GBK" w:hint="eastAsia"/>
                <w:sz w:val="24"/>
              </w:rPr>
              <w:t>三河市商务局</w:t>
            </w:r>
          </w:p>
        </w:tc>
        <w:tc>
          <w:tcPr>
            <w:tcW w:w="6804" w:type="dxa"/>
            <w:gridSpan w:val="6"/>
            <w:tcBorders>
              <w:top w:val="single" w:sz="6" w:space="0" w:color="FFFFFF"/>
              <w:left w:val="single" w:sz="6" w:space="0" w:color="FFFFFF"/>
              <w:right w:val="single" w:sz="6" w:space="0" w:color="FFFFFF"/>
            </w:tcBorders>
            <w:vAlign w:val="center"/>
          </w:tcPr>
          <w:p w:rsidR="009E4078" w:rsidRDefault="00F6072D">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9E4078">
        <w:trPr>
          <w:cantSplit/>
          <w:trHeight w:val="369"/>
          <w:tblHeader/>
          <w:jc w:val="center"/>
        </w:trPr>
        <w:tc>
          <w:tcPr>
            <w:tcW w:w="3118" w:type="dxa"/>
            <w:gridSpan w:val="2"/>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9E4078">
        <w:trPr>
          <w:cantSplit/>
          <w:trHeight w:val="369"/>
          <w:tblHeader/>
          <w:jc w:val="center"/>
        </w:trPr>
        <w:tc>
          <w:tcPr>
            <w:tcW w:w="1984"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项目名称</w:t>
            </w:r>
          </w:p>
        </w:tc>
        <w:tc>
          <w:tcPr>
            <w:tcW w:w="1134"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vAlign w:val="center"/>
          </w:tcPr>
          <w:p w:rsidR="009E4078" w:rsidRDefault="009E4078">
            <w:pPr>
              <w:spacing w:line="300" w:lineRule="exact"/>
              <w:jc w:val="left"/>
            </w:pPr>
          </w:p>
        </w:tc>
        <w:tc>
          <w:tcPr>
            <w:tcW w:w="1531" w:type="dxa"/>
            <w:vMerge/>
            <w:vAlign w:val="center"/>
          </w:tcPr>
          <w:p w:rsidR="009E4078" w:rsidRDefault="009E4078">
            <w:pPr>
              <w:spacing w:line="300" w:lineRule="exact"/>
              <w:jc w:val="left"/>
            </w:pPr>
          </w:p>
        </w:tc>
        <w:tc>
          <w:tcPr>
            <w:tcW w:w="709" w:type="dxa"/>
            <w:vMerge/>
            <w:vAlign w:val="center"/>
          </w:tcPr>
          <w:p w:rsidR="009E4078" w:rsidRDefault="009E4078">
            <w:pPr>
              <w:spacing w:line="300" w:lineRule="exact"/>
              <w:jc w:val="left"/>
            </w:pPr>
          </w:p>
        </w:tc>
        <w:tc>
          <w:tcPr>
            <w:tcW w:w="907" w:type="dxa"/>
            <w:vMerge/>
            <w:vAlign w:val="center"/>
          </w:tcPr>
          <w:p w:rsidR="009E4078" w:rsidRDefault="009E4078">
            <w:pPr>
              <w:spacing w:line="300" w:lineRule="exact"/>
              <w:jc w:val="left"/>
            </w:pPr>
          </w:p>
        </w:tc>
        <w:tc>
          <w:tcPr>
            <w:tcW w:w="907" w:type="dxa"/>
            <w:vMerge/>
            <w:vAlign w:val="center"/>
          </w:tcPr>
          <w:p w:rsidR="009E4078" w:rsidRDefault="009E4078">
            <w:pPr>
              <w:spacing w:line="300" w:lineRule="exact"/>
              <w:jc w:val="left"/>
            </w:pPr>
          </w:p>
        </w:tc>
        <w:tc>
          <w:tcPr>
            <w:tcW w:w="1134"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合计</w:t>
            </w:r>
          </w:p>
        </w:tc>
        <w:tc>
          <w:tcPr>
            <w:tcW w:w="1134"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vAlign w:val="center"/>
          </w:tcPr>
          <w:p w:rsidR="009E4078" w:rsidRDefault="00F6072D">
            <w:pPr>
              <w:spacing w:line="300" w:lineRule="exact"/>
              <w:jc w:val="center"/>
              <w:rPr>
                <w:rFonts w:ascii="方正书宋_GBK" w:eastAsia="方正书宋_GBK"/>
                <w:b/>
              </w:rPr>
            </w:pPr>
            <w:r>
              <w:rPr>
                <w:rFonts w:ascii="方正书宋_GBK" w:eastAsia="方正书宋_GBK" w:hint="eastAsia"/>
                <w:b/>
              </w:rPr>
              <w:t>单位资金</w:t>
            </w:r>
          </w:p>
        </w:tc>
      </w:tr>
      <w:tr w:rsidR="009E4078">
        <w:trPr>
          <w:cantSplit/>
          <w:trHeight w:val="369"/>
          <w:jc w:val="center"/>
        </w:trPr>
        <w:tc>
          <w:tcPr>
            <w:tcW w:w="1984" w:type="dxa"/>
            <w:vAlign w:val="center"/>
          </w:tcPr>
          <w:p w:rsidR="009E4078" w:rsidRDefault="009E4078">
            <w:pPr>
              <w:spacing w:line="300" w:lineRule="exact"/>
              <w:jc w:val="center"/>
              <w:rPr>
                <w:rFonts w:ascii="方正书宋_GBK" w:eastAsia="方正书宋_GBK"/>
                <w:b/>
              </w:rPr>
            </w:pPr>
          </w:p>
        </w:tc>
        <w:tc>
          <w:tcPr>
            <w:tcW w:w="1134" w:type="dxa"/>
            <w:vAlign w:val="center"/>
          </w:tcPr>
          <w:p w:rsidR="009E4078" w:rsidRDefault="009E4078">
            <w:pPr>
              <w:spacing w:line="300" w:lineRule="exact"/>
              <w:jc w:val="right"/>
              <w:rPr>
                <w:rFonts w:ascii="方正书宋_GBK" w:eastAsia="方正书宋_GBK"/>
                <w:b/>
              </w:rPr>
            </w:pPr>
          </w:p>
        </w:tc>
        <w:tc>
          <w:tcPr>
            <w:tcW w:w="1531" w:type="dxa"/>
            <w:vAlign w:val="center"/>
          </w:tcPr>
          <w:p w:rsidR="009E4078" w:rsidRDefault="009E4078">
            <w:pPr>
              <w:spacing w:line="300" w:lineRule="exact"/>
              <w:jc w:val="left"/>
              <w:rPr>
                <w:rFonts w:ascii="方正书宋_GBK" w:eastAsia="方正书宋_GBK"/>
                <w:b/>
              </w:rPr>
            </w:pPr>
          </w:p>
        </w:tc>
        <w:tc>
          <w:tcPr>
            <w:tcW w:w="1531" w:type="dxa"/>
            <w:vAlign w:val="center"/>
          </w:tcPr>
          <w:p w:rsidR="009E4078" w:rsidRDefault="009E4078">
            <w:pPr>
              <w:spacing w:line="300" w:lineRule="exact"/>
              <w:jc w:val="left"/>
              <w:rPr>
                <w:rFonts w:ascii="方正书宋_GBK" w:eastAsia="方正书宋_GBK"/>
                <w:b/>
              </w:rPr>
            </w:pPr>
          </w:p>
        </w:tc>
        <w:tc>
          <w:tcPr>
            <w:tcW w:w="709" w:type="dxa"/>
            <w:vAlign w:val="center"/>
          </w:tcPr>
          <w:p w:rsidR="009E4078" w:rsidRDefault="009E4078">
            <w:pPr>
              <w:spacing w:line="300" w:lineRule="exact"/>
              <w:jc w:val="center"/>
              <w:rPr>
                <w:rFonts w:ascii="方正书宋_GBK" w:eastAsia="方正书宋_GBK"/>
                <w:b/>
              </w:rPr>
            </w:pPr>
          </w:p>
        </w:tc>
        <w:tc>
          <w:tcPr>
            <w:tcW w:w="907" w:type="dxa"/>
            <w:vAlign w:val="center"/>
          </w:tcPr>
          <w:p w:rsidR="009E4078" w:rsidRDefault="009E4078">
            <w:pPr>
              <w:spacing w:line="300" w:lineRule="exact"/>
              <w:jc w:val="right"/>
              <w:rPr>
                <w:rFonts w:ascii="方正书宋_GBK" w:eastAsia="方正书宋_GBK"/>
                <w:b/>
              </w:rPr>
            </w:pPr>
          </w:p>
        </w:tc>
        <w:tc>
          <w:tcPr>
            <w:tcW w:w="907" w:type="dxa"/>
            <w:vAlign w:val="center"/>
          </w:tcPr>
          <w:p w:rsidR="009E4078" w:rsidRDefault="009E4078">
            <w:pPr>
              <w:spacing w:line="300" w:lineRule="exact"/>
              <w:jc w:val="right"/>
              <w:rPr>
                <w:rFonts w:ascii="方正书宋_GBK" w:eastAsia="方正书宋_GBK"/>
                <w:b/>
              </w:rPr>
            </w:pPr>
          </w:p>
        </w:tc>
        <w:tc>
          <w:tcPr>
            <w:tcW w:w="1134" w:type="dxa"/>
            <w:vAlign w:val="center"/>
          </w:tcPr>
          <w:p w:rsidR="009E4078" w:rsidRDefault="009E4078">
            <w:pPr>
              <w:spacing w:line="300" w:lineRule="exact"/>
              <w:jc w:val="right"/>
              <w:rPr>
                <w:rFonts w:ascii="方正书宋_GBK" w:eastAsia="方正书宋_GBK"/>
                <w:b/>
              </w:rPr>
            </w:pPr>
          </w:p>
        </w:tc>
        <w:tc>
          <w:tcPr>
            <w:tcW w:w="1134" w:type="dxa"/>
            <w:vAlign w:val="center"/>
          </w:tcPr>
          <w:p w:rsidR="009E4078" w:rsidRDefault="009E4078">
            <w:pPr>
              <w:spacing w:line="300" w:lineRule="exact"/>
              <w:jc w:val="right"/>
              <w:rPr>
                <w:rFonts w:ascii="方正书宋_GBK" w:eastAsia="方正书宋_GBK"/>
                <w:b/>
              </w:rPr>
            </w:pPr>
          </w:p>
        </w:tc>
        <w:tc>
          <w:tcPr>
            <w:tcW w:w="1134" w:type="dxa"/>
            <w:vAlign w:val="center"/>
          </w:tcPr>
          <w:p w:rsidR="009E4078" w:rsidRDefault="009E4078">
            <w:pPr>
              <w:spacing w:line="300" w:lineRule="exact"/>
              <w:jc w:val="right"/>
              <w:rPr>
                <w:rFonts w:ascii="方正书宋_GBK" w:eastAsia="方正书宋_GBK"/>
                <w:b/>
              </w:rPr>
            </w:pPr>
          </w:p>
        </w:tc>
        <w:tc>
          <w:tcPr>
            <w:tcW w:w="1134" w:type="dxa"/>
            <w:vAlign w:val="center"/>
          </w:tcPr>
          <w:p w:rsidR="009E4078" w:rsidRDefault="009E4078">
            <w:pPr>
              <w:spacing w:line="300" w:lineRule="exact"/>
              <w:jc w:val="right"/>
              <w:rPr>
                <w:rFonts w:ascii="方正书宋_GBK" w:eastAsia="方正书宋_GBK"/>
                <w:b/>
              </w:rPr>
            </w:pPr>
          </w:p>
        </w:tc>
        <w:tc>
          <w:tcPr>
            <w:tcW w:w="1134" w:type="dxa"/>
            <w:vAlign w:val="center"/>
          </w:tcPr>
          <w:p w:rsidR="009E4078" w:rsidRDefault="009E4078">
            <w:pPr>
              <w:spacing w:line="300" w:lineRule="exact"/>
              <w:jc w:val="right"/>
              <w:rPr>
                <w:rFonts w:ascii="方正书宋_GBK" w:eastAsia="方正书宋_GBK"/>
                <w:b/>
              </w:rPr>
            </w:pPr>
          </w:p>
        </w:tc>
        <w:tc>
          <w:tcPr>
            <w:tcW w:w="1134" w:type="dxa"/>
            <w:vAlign w:val="center"/>
          </w:tcPr>
          <w:p w:rsidR="009E4078" w:rsidRDefault="009E4078">
            <w:pPr>
              <w:spacing w:line="300" w:lineRule="exact"/>
              <w:jc w:val="right"/>
              <w:rPr>
                <w:rFonts w:ascii="方正书宋_GBK" w:eastAsia="方正书宋_GBK"/>
                <w:b/>
              </w:rPr>
            </w:pPr>
          </w:p>
        </w:tc>
      </w:tr>
    </w:tbl>
    <w:p w:rsidR="009E4078" w:rsidRDefault="00F6072D">
      <w:pPr>
        <w:ind w:firstLineChars="200" w:firstLine="420"/>
        <w:jc w:val="left"/>
        <w:rPr>
          <w:rFonts w:ascii="Times New Roman" w:hAnsi="宋体"/>
        </w:rPr>
      </w:pPr>
      <w:r>
        <w:rPr>
          <w:rFonts w:ascii="方正书宋_GBK" w:eastAsia="方正书宋_GBK" w:hint="eastAsia"/>
        </w:rPr>
        <w:t>注：无政府采购预算，空表列示。</w:t>
      </w:r>
    </w:p>
    <w:bookmarkEnd w:id="0"/>
    <w:p w:rsidR="009E4078" w:rsidRDefault="00F6072D">
      <w:pPr>
        <w:autoSpaceDE w:val="0"/>
        <w:autoSpaceDN w:val="0"/>
        <w:adjustRightInd w:val="0"/>
        <w:spacing w:line="584" w:lineRule="exact"/>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七、国有资产信息</w:t>
      </w:r>
    </w:p>
    <w:p w:rsidR="009E4078" w:rsidRDefault="00F6072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商务局</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472.58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15.6</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计算机设备、打印设备、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因未达到政府采购限额</w:t>
      </w:r>
      <w:r>
        <w:rPr>
          <w:rFonts w:ascii="Times New Roman" w:eastAsia="方正仿宋_GBK" w:hint="eastAsia"/>
          <w:sz w:val="28"/>
        </w:rPr>
        <w:t>，未</w:t>
      </w:r>
      <w:r>
        <w:rPr>
          <w:rFonts w:ascii="Times New Roman" w:eastAsia="仿宋_GB2312" w:hAnsi="Times New Roman" w:cs="Times New Roman"/>
          <w:sz w:val="32"/>
          <w:szCs w:val="32"/>
        </w:rPr>
        <w:t>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9E4078" w:rsidRDefault="009E4078">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9E4078">
        <w:trPr>
          <w:trHeight w:val="705"/>
        </w:trPr>
        <w:tc>
          <w:tcPr>
            <w:tcW w:w="13482" w:type="dxa"/>
            <w:gridSpan w:val="3"/>
            <w:tcBorders>
              <w:top w:val="nil"/>
              <w:left w:val="nil"/>
              <w:bottom w:val="nil"/>
              <w:right w:val="nil"/>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三河</w:t>
            </w:r>
            <w:r>
              <w:rPr>
                <w:rFonts w:ascii="Times New Roman" w:eastAsia="仿宋_GB2312" w:hAnsi="Times New Roman" w:cs="Times New Roman"/>
                <w:b/>
                <w:bCs/>
                <w:kern w:val="0"/>
                <w:sz w:val="32"/>
                <w:szCs w:val="32"/>
              </w:rPr>
              <w:t>市市直部门固定资产占用情况表</w:t>
            </w:r>
          </w:p>
        </w:tc>
      </w:tr>
      <w:tr w:rsidR="009E4078">
        <w:trPr>
          <w:trHeight w:val="510"/>
        </w:trPr>
        <w:tc>
          <w:tcPr>
            <w:tcW w:w="8379" w:type="dxa"/>
            <w:gridSpan w:val="2"/>
            <w:tcBorders>
              <w:top w:val="nil"/>
              <w:left w:val="nil"/>
              <w:bottom w:val="nil"/>
              <w:right w:val="nil"/>
            </w:tcBorders>
            <w:shd w:val="clear" w:color="auto" w:fill="auto"/>
            <w:vAlign w:val="center"/>
          </w:tcPr>
          <w:p w:rsidR="009E4078" w:rsidRDefault="00F6072D">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三河</w:t>
            </w:r>
            <w:r>
              <w:rPr>
                <w:rFonts w:ascii="Times New Roman" w:eastAsia="仿宋_GB2312" w:hAnsi="Times New Roman" w:cs="Times New Roman"/>
                <w:kern w:val="0"/>
                <w:sz w:val="22"/>
              </w:rPr>
              <w:t>市</w:t>
            </w:r>
            <w:r>
              <w:rPr>
                <w:rFonts w:ascii="Times New Roman" w:eastAsia="仿宋_GB2312" w:hAnsi="Times New Roman" w:cs="Times New Roman" w:hint="eastAsia"/>
                <w:kern w:val="0"/>
                <w:sz w:val="22"/>
              </w:rPr>
              <w:t>商务局</w:t>
            </w:r>
          </w:p>
        </w:tc>
        <w:tc>
          <w:tcPr>
            <w:tcW w:w="5103" w:type="dxa"/>
            <w:tcBorders>
              <w:top w:val="nil"/>
              <w:left w:val="nil"/>
              <w:bottom w:val="nil"/>
              <w:right w:val="nil"/>
            </w:tcBorders>
            <w:shd w:val="clear" w:color="auto" w:fill="auto"/>
            <w:vAlign w:val="center"/>
          </w:tcPr>
          <w:p w:rsidR="009E4078" w:rsidRDefault="00F6072D">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9E4078">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9E407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472.57</w:t>
            </w:r>
          </w:p>
        </w:tc>
      </w:tr>
      <w:tr w:rsidR="009E407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2260.5</w:t>
            </w:r>
          </w:p>
        </w:tc>
        <w:tc>
          <w:tcPr>
            <w:tcW w:w="5103"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352.22</w:t>
            </w:r>
          </w:p>
        </w:tc>
      </w:tr>
      <w:tr w:rsidR="009E407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2260.5</w:t>
            </w:r>
          </w:p>
        </w:tc>
        <w:tc>
          <w:tcPr>
            <w:tcW w:w="5103"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352.22</w:t>
            </w:r>
          </w:p>
        </w:tc>
      </w:tr>
      <w:tr w:rsidR="009E407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p>
        </w:tc>
        <w:tc>
          <w:tcPr>
            <w:tcW w:w="5103"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26.16</w:t>
            </w:r>
            <w:bookmarkStart w:id="1" w:name="_GoBack"/>
            <w:bookmarkEnd w:id="1"/>
          </w:p>
        </w:tc>
      </w:tr>
      <w:tr w:rsidR="009E407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9E407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E4078" w:rsidRDefault="00F6072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765</w:t>
            </w:r>
          </w:p>
        </w:tc>
        <w:tc>
          <w:tcPr>
            <w:tcW w:w="5103" w:type="dxa"/>
            <w:tcBorders>
              <w:top w:val="nil"/>
              <w:left w:val="nil"/>
              <w:bottom w:val="single" w:sz="4" w:space="0" w:color="auto"/>
              <w:right w:val="single" w:sz="4" w:space="0" w:color="auto"/>
            </w:tcBorders>
            <w:shd w:val="clear" w:color="auto" w:fill="auto"/>
            <w:vAlign w:val="center"/>
          </w:tcPr>
          <w:p w:rsidR="009E4078" w:rsidRDefault="00F6072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94.19</w:t>
            </w:r>
          </w:p>
        </w:tc>
      </w:tr>
    </w:tbl>
    <w:p w:rsidR="009E4078" w:rsidRDefault="00F6072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9E4078" w:rsidRDefault="00F6072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9E4078" w:rsidRDefault="00F6072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9E4078" w:rsidRDefault="00F6072D">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9E4078" w:rsidRDefault="00F6072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9E4078" w:rsidRDefault="00F6072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9E4078" w:rsidRDefault="00F6072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9E4078" w:rsidRDefault="00F6072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E4078" w:rsidRDefault="00F6072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E4078" w:rsidRDefault="00F6072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9E4078" w:rsidRDefault="00F6072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9E4078" w:rsidRDefault="00F6072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9E4078" w:rsidRDefault="00F6072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9E4078" w:rsidSect="009E4078">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2D" w:rsidRDefault="00F6072D" w:rsidP="009E4078">
      <w:r>
        <w:separator/>
      </w:r>
    </w:p>
  </w:endnote>
  <w:endnote w:type="continuationSeparator" w:id="0">
    <w:p w:rsidR="00F6072D" w:rsidRDefault="00F6072D" w:rsidP="009E4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书宋_GBK">
    <w:altName w:val="宋体"/>
    <w:charset w:val="86"/>
    <w:family w:val="roman"/>
    <w:pitch w:val="default"/>
    <w:sig w:usb0="00000000" w:usb1="00000000" w:usb2="00000000" w:usb3="00000000" w:csb0="00040001" w:csb1="00000000"/>
  </w:font>
  <w:font w:name="方正仿宋_GBK">
    <w:altName w:val="宋体"/>
    <w:charset w:val="86"/>
    <w:family w:val="roman"/>
    <w:pitch w:val="default"/>
    <w:sig w:usb0="00000000" w:usb1="00000000" w:usb2="00000000" w:usb3="00000000" w:csb0="00040001" w:csb1="00000000"/>
  </w:font>
  <w:font w:name="方正小标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2D" w:rsidRDefault="00F6072D">
    <w:pPr>
      <w:pStyle w:val="a4"/>
      <w:jc w:val="center"/>
    </w:pPr>
    <w:r>
      <w:rPr>
        <w:rFonts w:hint="eastAsia"/>
      </w:rPr>
      <w:t>-</w:t>
    </w:r>
    <w:r w:rsidRPr="009E4078">
      <w:fldChar w:fldCharType="begin"/>
    </w:r>
    <w:r>
      <w:instrText>PAGE   \* MERGEFORMAT</w:instrText>
    </w:r>
    <w:r w:rsidRPr="009E4078">
      <w:fldChar w:fldCharType="separate"/>
    </w:r>
    <w:r w:rsidR="00AB4E97" w:rsidRPr="00AB4E97">
      <w:rPr>
        <w:noProof/>
        <w:lang w:val="zh-CN"/>
      </w:rPr>
      <w:t>25</w:t>
    </w:r>
    <w:r>
      <w:rPr>
        <w:lang w:val="zh-CN"/>
      </w:rPr>
      <w:fldChar w:fldCharType="end"/>
    </w:r>
    <w:r>
      <w:rPr>
        <w:rFonts w:hint="eastAsia"/>
      </w:rPr>
      <w:t>-</w:t>
    </w:r>
  </w:p>
  <w:p w:rsidR="00F6072D" w:rsidRDefault="00F607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2D" w:rsidRDefault="00F6072D" w:rsidP="009E4078">
      <w:r>
        <w:separator/>
      </w:r>
    </w:p>
  </w:footnote>
  <w:footnote w:type="continuationSeparator" w:id="0">
    <w:p w:rsidR="00F6072D" w:rsidRDefault="00F6072D" w:rsidP="009E4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BD70A"/>
    <w:multiLevelType w:val="singleLevel"/>
    <w:tmpl w:val="606BD70A"/>
    <w:lvl w:ilvl="0">
      <w:start w:val="1"/>
      <w:numFmt w:val="decimal"/>
      <w:suff w:val="nothing"/>
      <w:lvlText w:val="%1、"/>
      <w:lvlJc w:val="left"/>
    </w:lvl>
  </w:abstractNum>
  <w:abstractNum w:abstractNumId="1">
    <w:nsid w:val="606C223C"/>
    <w:multiLevelType w:val="singleLevel"/>
    <w:tmpl w:val="606C223C"/>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doNotWrapTextWithPunct/>
    <w:doNotUseEastAsianBreakRules/>
    <w:useFELayout/>
    <w:doNotUseIndentAsNumberingTabStop/>
    <w:useAltKinsokuLineBreakRules/>
  </w:compat>
  <w:rsids>
    <w:rsidRoot w:val="00D347CC"/>
    <w:rsid w:val="000F5AF5"/>
    <w:rsid w:val="00177B10"/>
    <w:rsid w:val="00185474"/>
    <w:rsid w:val="004A54AA"/>
    <w:rsid w:val="00733605"/>
    <w:rsid w:val="00771E87"/>
    <w:rsid w:val="00897A8C"/>
    <w:rsid w:val="008E0169"/>
    <w:rsid w:val="009E4078"/>
    <w:rsid w:val="00AB4E97"/>
    <w:rsid w:val="00B80935"/>
    <w:rsid w:val="00C0690F"/>
    <w:rsid w:val="00C3237A"/>
    <w:rsid w:val="00D347CC"/>
    <w:rsid w:val="00F6072D"/>
    <w:rsid w:val="01D26119"/>
    <w:rsid w:val="0C28590E"/>
    <w:rsid w:val="181B7DED"/>
    <w:rsid w:val="186671CF"/>
    <w:rsid w:val="1A7E7020"/>
    <w:rsid w:val="1E102279"/>
    <w:rsid w:val="28F26603"/>
    <w:rsid w:val="2CD17347"/>
    <w:rsid w:val="39BB6494"/>
    <w:rsid w:val="3C0F2265"/>
    <w:rsid w:val="47934823"/>
    <w:rsid w:val="49B14132"/>
    <w:rsid w:val="50156C98"/>
    <w:rsid w:val="50B6766D"/>
    <w:rsid w:val="57D12EE1"/>
    <w:rsid w:val="595148B1"/>
    <w:rsid w:val="5B6C696B"/>
    <w:rsid w:val="72847FDC"/>
    <w:rsid w:val="7CA02091"/>
    <w:rsid w:val="7D9C7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78"/>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9E4078"/>
    <w:rPr>
      <w:sz w:val="18"/>
      <w:szCs w:val="18"/>
    </w:rPr>
  </w:style>
  <w:style w:type="paragraph" w:styleId="a4">
    <w:name w:val="footer"/>
    <w:basedOn w:val="a"/>
    <w:qFormat/>
    <w:rsid w:val="009E4078"/>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9E4078"/>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9E4078"/>
    <w:rPr>
      <w:rFonts w:ascii="Times New Roman" w:hAnsi="Times New Roman" w:cs="Times New Roman"/>
      <w:szCs w:val="24"/>
    </w:rPr>
  </w:style>
  <w:style w:type="paragraph" w:styleId="a6">
    <w:name w:val="footnote text"/>
    <w:basedOn w:val="a"/>
    <w:qFormat/>
    <w:rsid w:val="009E4078"/>
    <w:pPr>
      <w:snapToGrid w:val="0"/>
      <w:jc w:val="left"/>
    </w:pPr>
    <w:rPr>
      <w:rFonts w:cs="Times New Roman"/>
      <w:sz w:val="18"/>
      <w:szCs w:val="18"/>
    </w:rPr>
  </w:style>
  <w:style w:type="paragraph" w:styleId="2">
    <w:name w:val="toc 2"/>
    <w:basedOn w:val="a"/>
    <w:next w:val="a"/>
    <w:qFormat/>
    <w:rsid w:val="009E4078"/>
    <w:pPr>
      <w:ind w:leftChars="200" w:left="200"/>
    </w:pPr>
    <w:rPr>
      <w:rFonts w:ascii="Times New Roman" w:hAnsi="Times New Roman" w:cs="Times New Roman"/>
      <w:szCs w:val="24"/>
    </w:rPr>
  </w:style>
  <w:style w:type="character" w:styleId="a7">
    <w:name w:val="footnote reference"/>
    <w:qFormat/>
    <w:rsid w:val="009E4078"/>
    <w:rPr>
      <w:vertAlign w:val="superscript"/>
    </w:rPr>
  </w:style>
  <w:style w:type="paragraph" w:customStyle="1" w:styleId="Default">
    <w:name w:val="Default"/>
    <w:qFormat/>
    <w:rsid w:val="009E4078"/>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11756</Words>
  <Characters>1872</Characters>
  <Application>Microsoft Office Word</Application>
  <DocSecurity>0</DocSecurity>
  <Lines>15</Lines>
  <Paragraphs>27</Paragraphs>
  <ScaleCrop>false</ScaleCrop>
  <Company>Microsoft</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HDKJ</cp:lastModifiedBy>
  <cp:revision>92</cp:revision>
  <cp:lastPrinted>2018-01-30T06:12:00Z</cp:lastPrinted>
  <dcterms:created xsi:type="dcterms:W3CDTF">2020-01-13T03:27:00Z</dcterms:created>
  <dcterms:modified xsi:type="dcterms:W3CDTF">2021-04-09T03:18:00Z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